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11F42"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ascii="Calibri" w:hAnsi="Calibri" w:eastAsia="宋体" w:cs="Times New Roman"/>
          <w:b/>
          <w:sz w:val="32"/>
          <w:szCs w:val="32"/>
        </w:rPr>
        <w:t>202</w:t>
      </w:r>
      <w:r>
        <w:rPr>
          <w:rFonts w:hint="eastAsia" w:ascii="Calibri" w:hAnsi="Calibri" w:eastAsia="宋体" w:cs="Times New Roman"/>
          <w:b/>
          <w:sz w:val="32"/>
          <w:szCs w:val="32"/>
        </w:rPr>
        <w:t>4年武夷山基地非实验室功能区装修改造投资概算</w:t>
      </w:r>
    </w:p>
    <w:p w14:paraId="5B691784">
      <w:pPr>
        <w:rPr>
          <w:b/>
          <w:szCs w:val="21"/>
        </w:rPr>
      </w:pPr>
    </w:p>
    <w:p w14:paraId="69B81C8F">
      <w:pPr>
        <w:rPr>
          <w:b/>
          <w:szCs w:val="21"/>
        </w:rPr>
      </w:pPr>
      <w:r>
        <w:rPr>
          <w:rFonts w:hint="eastAsia"/>
          <w:sz w:val="28"/>
          <w:szCs w:val="28"/>
        </w:rPr>
        <w:t>一、项目概况</w:t>
      </w:r>
      <w:bookmarkStart w:id="0" w:name="_GoBack"/>
      <w:bookmarkEnd w:id="0"/>
    </w:p>
    <w:p w14:paraId="572C929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主要是完成国家加工食品质量检验检测中心（福州）武夷山基地非实验室功能区装修改造投资概算。国家加工食品质量检验检测中心（福州）武夷山基地土地使用权面积13969.55平方米，房屋建筑面积9848.69平方米。主体建筑一层占地面积4888.5平方米，其中不计容建筑面积2596.3平方米，计容建筑面积1911.45平方米，含64个室内停车位，西侧为设备用房，东侧规划为样品受理、样品储存、样品制备、试剂药品储存、办公等实验室功能区；二层计容建筑面积3880.48平方米，西侧规划为教育培训区、茶旅参观和茶文化展示区，东侧规划为样品前处理、仪器分析、数据处理等实验室功能区；三层计容建筑面积3275.45平方米，东侧规划为微生物检测、预留实验室等实验室功能区，西侧规划为食堂、宿舍等后勤保障区。</w:t>
      </w:r>
    </w:p>
    <w:p w14:paraId="640048E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除包含主体建筑的非实验室功能区域的装修改造投资概算外，还包含围墙（含两个门和保安室）建设、雨污水管网完善、水系梳理堵漏、生活废水处理、智能化系统、网络建设、通信建设、消防设施完善、道路修缮、外部监控设施完善、标示指示系统完善、景观绿化提升、现有房屋问题修缮等方面的维修改造投资概算。中标单位需提供项目的投资概算，应包含设计、监理、检测、鉴定等工程相关费用，出具装修改造内容、主要装饰材料、主要设备品牌等，并附相应的图纸。</w:t>
      </w:r>
    </w:p>
    <w:p w14:paraId="79F999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二、评分要求</w:t>
      </w:r>
    </w:p>
    <w:p w14:paraId="778411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1.商务部分20%（★营业执照复印件、★法定代表人授权书</w:t>
      </w:r>
      <w:r>
        <w:rPr>
          <w:rFonts w:hint="eastAsia" w:ascii="宋体" w:hAnsi="宋体"/>
          <w:sz w:val="24"/>
        </w:rPr>
        <w:t>、★</w:t>
      </w:r>
      <w:r>
        <w:rPr>
          <w:rFonts w:hint="eastAsia"/>
          <w:sz w:val="28"/>
          <w:szCs w:val="28"/>
        </w:rPr>
        <w:t>信用证明文件、★建设行政主管部门颁发的建筑装饰工程设计专项甲级资质）、★中国博物馆协会颁发的博物馆陈列展览设计甲级资质）。带★项不得缺失，每项4分，缺一项即取消遴选资格。</w:t>
      </w:r>
    </w:p>
    <w:p w14:paraId="20AEE15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2.技术部分60%（</w:t>
      </w:r>
      <w:r>
        <w:rPr>
          <w:rFonts w:hint="eastAsia" w:asciiTheme="minorEastAsia" w:hAnsiTheme="minor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过往业绩展示（20分，提供近三年（截止到2024年6月1日）实施的博物馆、美术馆展览陈列设计相关项目业绩证明（提供业绩证明材料：合同复印件；没有不得分，单个1分，与茶文化相关的单个得5分，最多20分））；</w:t>
      </w:r>
      <w:r>
        <w:rPr>
          <w:rFonts w:hint="eastAsia" w:asciiTheme="minorEastAsia" w:hAnsiTheme="minorEastAsia"/>
          <w:sz w:val="28"/>
          <w:szCs w:val="28"/>
        </w:rPr>
        <w:t>②概算</w:t>
      </w:r>
      <w:r>
        <w:rPr>
          <w:rFonts w:hint="eastAsia"/>
          <w:kern w:val="0"/>
          <w:sz w:val="28"/>
          <w:szCs w:val="28"/>
        </w:rPr>
        <w:t>服务响应承诺（20分，潜在供应商根据自身能力，作出提供合理概算服务，修改概算效率的承诺，评委组根据响应内容进行评分）；</w:t>
      </w:r>
      <w:r>
        <w:rPr>
          <w:rFonts w:hint="eastAsia" w:asciiTheme="minorEastAsia" w:hAnsiTheme="minorEastAsia"/>
          <w:kern w:val="0"/>
          <w:sz w:val="28"/>
          <w:szCs w:val="28"/>
        </w:rPr>
        <w:t>③</w:t>
      </w:r>
      <w:r>
        <w:rPr>
          <w:rFonts w:hint="eastAsia"/>
          <w:kern w:val="0"/>
          <w:sz w:val="28"/>
          <w:szCs w:val="28"/>
        </w:rPr>
        <w:t>工作的全过程服务承诺（20分，潜在供应商根据自身能力，作出本项目投入的人力、物力以及全过程跟踪服务的承诺，评委组根据响应内容进行评分））。</w:t>
      </w:r>
    </w:p>
    <w:p w14:paraId="7007C98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3.价格部分20%本项目最高限价为：¥50000元。各潜在供应商根据该项目和要求进行报价。</w:t>
      </w:r>
    </w:p>
    <w:p w14:paraId="75CA40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2103DCC3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0OTBkN2MxNDNjODE1MjE4MmRlNGZhZjFhNWQ3MmYifQ=="/>
  </w:docVars>
  <w:rsids>
    <w:rsidRoot w:val="00256DE8"/>
    <w:rsid w:val="00000947"/>
    <w:rsid w:val="00004FB9"/>
    <w:rsid w:val="00036365"/>
    <w:rsid w:val="00105F43"/>
    <w:rsid w:val="00143087"/>
    <w:rsid w:val="00167F09"/>
    <w:rsid w:val="001F2037"/>
    <w:rsid w:val="00256DE8"/>
    <w:rsid w:val="002F097C"/>
    <w:rsid w:val="002F1D5E"/>
    <w:rsid w:val="00333227"/>
    <w:rsid w:val="00345648"/>
    <w:rsid w:val="00375764"/>
    <w:rsid w:val="00375BB1"/>
    <w:rsid w:val="003C6BB6"/>
    <w:rsid w:val="004452AA"/>
    <w:rsid w:val="004B7A85"/>
    <w:rsid w:val="004C0B0B"/>
    <w:rsid w:val="004E18B6"/>
    <w:rsid w:val="004E7A91"/>
    <w:rsid w:val="004F5B41"/>
    <w:rsid w:val="00502F00"/>
    <w:rsid w:val="00531821"/>
    <w:rsid w:val="00587F1D"/>
    <w:rsid w:val="005C4023"/>
    <w:rsid w:val="006F5314"/>
    <w:rsid w:val="007047A1"/>
    <w:rsid w:val="00760259"/>
    <w:rsid w:val="007E018B"/>
    <w:rsid w:val="0083511B"/>
    <w:rsid w:val="00841769"/>
    <w:rsid w:val="008508BF"/>
    <w:rsid w:val="008564FC"/>
    <w:rsid w:val="008570EA"/>
    <w:rsid w:val="008A5887"/>
    <w:rsid w:val="008B7542"/>
    <w:rsid w:val="008C0C01"/>
    <w:rsid w:val="00964F48"/>
    <w:rsid w:val="009E4239"/>
    <w:rsid w:val="00A11BC0"/>
    <w:rsid w:val="00A33780"/>
    <w:rsid w:val="00AB1996"/>
    <w:rsid w:val="00AB67A8"/>
    <w:rsid w:val="00AD17D4"/>
    <w:rsid w:val="00B71F79"/>
    <w:rsid w:val="00B911BA"/>
    <w:rsid w:val="00BB7AB3"/>
    <w:rsid w:val="00BC431F"/>
    <w:rsid w:val="00C11951"/>
    <w:rsid w:val="00C24ADC"/>
    <w:rsid w:val="00C52A2E"/>
    <w:rsid w:val="00C5663C"/>
    <w:rsid w:val="00C8072E"/>
    <w:rsid w:val="00CE3898"/>
    <w:rsid w:val="00D44E0E"/>
    <w:rsid w:val="00D7682C"/>
    <w:rsid w:val="00D97085"/>
    <w:rsid w:val="00DC13C2"/>
    <w:rsid w:val="00E968B5"/>
    <w:rsid w:val="00EA5C0A"/>
    <w:rsid w:val="00EB222B"/>
    <w:rsid w:val="00FC445D"/>
    <w:rsid w:val="27E63C74"/>
    <w:rsid w:val="4DCE5D4F"/>
    <w:rsid w:val="737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958</Words>
  <Characters>1024</Characters>
  <Lines>8</Lines>
  <Paragraphs>2</Paragraphs>
  <TotalTime>323</TotalTime>
  <ScaleCrop>false</ScaleCrop>
  <LinksUpToDate>false</LinksUpToDate>
  <CharactersWithSpaces>1062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2024-06-13T06:16:00Z</dcterms:created>
  <dc:creator>陈龙华</dc:creator>
  <cp:lastModifiedBy>游弋</cp:lastModifiedBy>
  <cp:lastPrinted>2024-05-08T07:05:00Z</cp:lastPrinted>
  <dcterms:modified xsi:type="dcterms:W3CDTF">2024-07-10T03:32:06Z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C4BAFB79F4464E34B495B9464D6A9A96</vt:lpwstr>
  </property>
</Properties>
</file>