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eastAsia="宋体"/>
          <w:b/>
          <w:sz w:val="44"/>
          <w:szCs w:val="44"/>
          <w:lang w:val="en-US" w:eastAsia="zh-CN"/>
        </w:rPr>
      </w:pPr>
      <w:r>
        <w:rPr>
          <w:rFonts w:hint="eastAsia"/>
          <w:b/>
          <w:sz w:val="44"/>
          <w:szCs w:val="44"/>
          <w:lang w:val="en-US" w:eastAsia="zh-CN"/>
        </w:rPr>
        <w:t>采购内容及要求</w:t>
      </w:r>
    </w:p>
    <w:p>
      <w:pPr>
        <w:spacing w:line="480" w:lineRule="auto"/>
        <w:ind w:firstLine="480" w:firstLineChars="200"/>
        <w:jc w:val="left"/>
        <w:rPr>
          <w:sz w:val="24"/>
          <w:szCs w:val="24"/>
        </w:rPr>
      </w:pPr>
      <w:r>
        <w:rPr>
          <w:rFonts w:hint="eastAsia" w:ascii="Times New Roman" w:hAnsi="Times New Roman" w:eastAsia="宋体" w:cs="Times New Roman"/>
          <w:sz w:val="24"/>
          <w:szCs w:val="24"/>
          <w:lang w:val="en-US" w:eastAsia="zh-CN"/>
        </w:rPr>
        <w:t>我院本部和马尾基地四个10KV高压配电房及楼层配电间（本部630KVA变压器两台、400KVA直变一台；马尾基地2000KV变压器3台、250KVA一台；）2022年度（2022年5月-2023年4月）日常巡查。</w:t>
      </w:r>
      <w:r>
        <w:rPr>
          <w:rFonts w:hint="eastAsia"/>
          <w:sz w:val="24"/>
          <w:szCs w:val="24"/>
        </w:rPr>
        <w:t>针对配电房进行第三方运行维护并针对本部及马尾四个配电房设备及环境设备进行少量改造，实现远程数据检测、可视化、动态环境监测。改造后在电脑及手机端可远程查看配电房设备及环境状态，以便于统一防范管控（改造费用不增加维保预算，含在维保费用内）</w:t>
      </w:r>
    </w:p>
    <w:p>
      <w:pPr>
        <w:spacing w:line="480" w:lineRule="auto"/>
        <w:jc w:val="left"/>
        <w:rPr>
          <w:sz w:val="24"/>
          <w:szCs w:val="24"/>
        </w:rPr>
      </w:pPr>
      <w:r>
        <w:rPr>
          <w:rFonts w:hint="eastAsia"/>
          <w:sz w:val="24"/>
          <w:szCs w:val="24"/>
        </w:rPr>
        <w:t>一、供应商</w:t>
      </w:r>
      <w:r>
        <w:rPr>
          <w:rFonts w:hint="eastAsia"/>
          <w:sz w:val="24"/>
          <w:szCs w:val="24"/>
          <w:lang w:val="en-US" w:eastAsia="zh-CN"/>
        </w:rPr>
        <w:t>资质</w:t>
      </w:r>
      <w:r>
        <w:rPr>
          <w:rFonts w:hint="eastAsia"/>
          <w:sz w:val="24"/>
          <w:szCs w:val="24"/>
        </w:rPr>
        <w:t>要求：</w:t>
      </w:r>
    </w:p>
    <w:p>
      <w:pPr>
        <w:pStyle w:val="26"/>
        <w:numPr>
          <w:ilvl w:val="0"/>
          <w:numId w:val="1"/>
        </w:numPr>
        <w:spacing w:line="480" w:lineRule="auto"/>
        <w:ind w:firstLineChars="0"/>
        <w:jc w:val="left"/>
        <w:rPr>
          <w:rFonts w:ascii="宋体" w:hAnsi="宋体" w:cs="宋体"/>
          <w:sz w:val="24"/>
          <w:szCs w:val="24"/>
        </w:rPr>
      </w:pPr>
      <w:r>
        <w:rPr>
          <w:rFonts w:hint="eastAsia" w:ascii="宋体" w:hAnsi="宋体" w:cs="宋体"/>
          <w:sz w:val="24"/>
          <w:szCs w:val="24"/>
          <w:lang w:val="en-US" w:eastAsia="zh-CN"/>
        </w:rPr>
        <w:t>★营业执照、法人授权书、信用证明；（带★项不得缺失）</w:t>
      </w:r>
    </w:p>
    <w:p>
      <w:pPr>
        <w:pStyle w:val="26"/>
        <w:numPr>
          <w:ilvl w:val="0"/>
          <w:numId w:val="1"/>
        </w:numPr>
        <w:spacing w:line="480" w:lineRule="auto"/>
        <w:ind w:firstLineChars="0"/>
        <w:jc w:val="left"/>
        <w:rPr>
          <w:rFonts w:ascii="宋体" w:hAnsi="宋体" w:cs="宋体"/>
          <w:sz w:val="24"/>
          <w:szCs w:val="24"/>
        </w:rPr>
      </w:pPr>
      <w:r>
        <w:rPr>
          <w:rFonts w:hint="eastAsia" w:ascii="宋体" w:hAnsi="宋体" w:cs="宋体"/>
          <w:sz w:val="24"/>
          <w:szCs w:val="24"/>
          <w:lang w:val="en-US" w:eastAsia="zh-CN"/>
        </w:rPr>
        <w:t>★</w:t>
      </w:r>
      <w:r>
        <w:rPr>
          <w:rFonts w:hint="eastAsia"/>
          <w:sz w:val="24"/>
          <w:szCs w:val="24"/>
        </w:rPr>
        <w:t>具备电力施工总承包三级资质、承装（修、试）电力设施许可证五级及以上资质、安全生产许可证资质</w:t>
      </w:r>
      <w:r>
        <w:rPr>
          <w:rFonts w:hint="eastAsia"/>
          <w:sz w:val="24"/>
          <w:szCs w:val="24"/>
          <w:lang w:eastAsia="zh-CN"/>
        </w:rPr>
        <w:t>；</w:t>
      </w:r>
      <w:r>
        <w:rPr>
          <w:rFonts w:hint="eastAsia" w:ascii="宋体" w:hAnsi="宋体" w:cs="宋体"/>
          <w:sz w:val="24"/>
          <w:szCs w:val="24"/>
          <w:lang w:val="en-US" w:eastAsia="zh-CN"/>
        </w:rPr>
        <w:t>（带★项不得缺失）</w:t>
      </w:r>
    </w:p>
    <w:p>
      <w:pPr>
        <w:pStyle w:val="26"/>
        <w:numPr>
          <w:ilvl w:val="0"/>
          <w:numId w:val="1"/>
        </w:numPr>
        <w:spacing w:line="480" w:lineRule="auto"/>
        <w:ind w:firstLineChars="0"/>
        <w:jc w:val="left"/>
        <w:rPr>
          <w:sz w:val="24"/>
          <w:szCs w:val="24"/>
        </w:rPr>
      </w:pPr>
      <w:r>
        <w:rPr>
          <w:rFonts w:hint="eastAsia"/>
          <w:sz w:val="24"/>
          <w:szCs w:val="24"/>
        </w:rPr>
        <w:t>提供</w:t>
      </w:r>
      <w:r>
        <w:rPr>
          <w:sz w:val="24"/>
          <w:szCs w:val="24"/>
        </w:rPr>
        <w:t>5</w:t>
      </w:r>
      <w:r>
        <w:rPr>
          <w:rFonts w:hint="eastAsia"/>
          <w:sz w:val="24"/>
          <w:szCs w:val="24"/>
        </w:rPr>
        <w:t>名维保人员信息，要求：拥有高压电工作业证及在公司缴纳医社保记录证明</w:t>
      </w:r>
      <w:r>
        <w:rPr>
          <w:rFonts w:hint="eastAsia"/>
          <w:sz w:val="24"/>
          <w:szCs w:val="24"/>
          <w:lang w:eastAsia="zh-CN"/>
        </w:rPr>
        <w:t>（</w:t>
      </w:r>
      <w:r>
        <w:rPr>
          <w:rFonts w:hint="eastAsia"/>
          <w:sz w:val="24"/>
          <w:szCs w:val="24"/>
          <w:lang w:val="en-US" w:eastAsia="zh-CN"/>
        </w:rPr>
        <w:t>最近6个月任一个月</w:t>
      </w:r>
      <w:r>
        <w:rPr>
          <w:rFonts w:hint="eastAsia"/>
          <w:sz w:val="24"/>
          <w:szCs w:val="24"/>
          <w:lang w:eastAsia="zh-CN"/>
        </w:rPr>
        <w:t>）</w:t>
      </w:r>
      <w:r>
        <w:rPr>
          <w:rFonts w:hint="eastAsia"/>
          <w:sz w:val="24"/>
          <w:szCs w:val="24"/>
        </w:rPr>
        <w:t>；</w:t>
      </w:r>
    </w:p>
    <w:p>
      <w:pPr>
        <w:pStyle w:val="26"/>
        <w:numPr>
          <w:ilvl w:val="0"/>
          <w:numId w:val="1"/>
        </w:numPr>
        <w:spacing w:line="480" w:lineRule="auto"/>
        <w:ind w:firstLineChars="0"/>
        <w:jc w:val="left"/>
        <w:rPr>
          <w:sz w:val="24"/>
          <w:szCs w:val="24"/>
        </w:rPr>
      </w:pPr>
      <w:r>
        <w:rPr>
          <w:rFonts w:hint="eastAsia"/>
          <w:sz w:val="24"/>
          <w:szCs w:val="24"/>
        </w:rPr>
        <w:t>提供</w:t>
      </w:r>
      <w:r>
        <w:rPr>
          <w:rFonts w:hint="eastAsia"/>
          <w:sz w:val="24"/>
          <w:szCs w:val="24"/>
          <w:lang w:val="en-US" w:eastAsia="zh-CN"/>
        </w:rPr>
        <w:t>运维</w:t>
      </w:r>
      <w:r>
        <w:rPr>
          <w:rFonts w:hint="eastAsia"/>
          <w:sz w:val="24"/>
          <w:szCs w:val="24"/>
        </w:rPr>
        <w:t>服务车辆的行驶证复印件及缴纳保险证明；</w:t>
      </w:r>
    </w:p>
    <w:p>
      <w:pPr>
        <w:pStyle w:val="26"/>
        <w:numPr>
          <w:ilvl w:val="0"/>
          <w:numId w:val="1"/>
        </w:numPr>
        <w:spacing w:line="480" w:lineRule="auto"/>
        <w:ind w:firstLineChars="0"/>
        <w:jc w:val="left"/>
        <w:rPr>
          <w:sz w:val="24"/>
          <w:szCs w:val="24"/>
        </w:rPr>
      </w:pPr>
      <w:r>
        <w:rPr>
          <w:rFonts w:hint="eastAsia"/>
          <w:sz w:val="24"/>
          <w:szCs w:val="24"/>
        </w:rPr>
        <w:t>提供类似运维业绩，要求提供中标截图及合同复印件。</w:t>
      </w:r>
    </w:p>
    <w:p>
      <w:pPr>
        <w:spacing w:line="480" w:lineRule="auto"/>
        <w:jc w:val="left"/>
        <w:rPr>
          <w:sz w:val="24"/>
          <w:szCs w:val="24"/>
        </w:rPr>
      </w:pPr>
      <w:r>
        <w:rPr>
          <w:rFonts w:hint="eastAsia"/>
          <w:sz w:val="24"/>
          <w:szCs w:val="24"/>
        </w:rPr>
        <w:t>二、设备运维服务要求：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119"/>
        <w:gridCol w:w="1119"/>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91" w:type="pct"/>
            <w:vAlign w:val="center"/>
          </w:tcPr>
          <w:p>
            <w:pPr>
              <w:jc w:val="center"/>
              <w:rPr>
                <w:rFonts w:ascii="宋体" w:hAnsi="宋体" w:cs="宋体"/>
                <w:sz w:val="24"/>
                <w:szCs w:val="24"/>
              </w:rPr>
            </w:pPr>
            <w:r>
              <w:rPr>
                <w:rFonts w:hint="eastAsia" w:ascii="宋体" w:hAnsi="宋体" w:cs="宋体"/>
                <w:sz w:val="24"/>
                <w:szCs w:val="24"/>
              </w:rPr>
              <w:t>服务项目</w:t>
            </w:r>
          </w:p>
        </w:tc>
        <w:tc>
          <w:tcPr>
            <w:tcW w:w="602" w:type="pct"/>
            <w:vAlign w:val="center"/>
          </w:tcPr>
          <w:p>
            <w:pPr>
              <w:jc w:val="center"/>
              <w:rPr>
                <w:rFonts w:ascii="宋体" w:hAnsi="宋体" w:cs="宋体"/>
                <w:sz w:val="24"/>
                <w:szCs w:val="24"/>
              </w:rPr>
            </w:pPr>
            <w:r>
              <w:rPr>
                <w:rFonts w:hint="eastAsia" w:ascii="宋体" w:hAnsi="宋体" w:cs="宋体"/>
                <w:sz w:val="24"/>
                <w:szCs w:val="24"/>
              </w:rPr>
              <w:t>服务内容</w:t>
            </w:r>
          </w:p>
        </w:tc>
        <w:tc>
          <w:tcPr>
            <w:tcW w:w="3705" w:type="pct"/>
            <w:gridSpan w:val="2"/>
            <w:vAlign w:val="center"/>
          </w:tcPr>
          <w:p>
            <w:pPr>
              <w:jc w:val="center"/>
              <w:rPr>
                <w:rFonts w:ascii="宋体" w:hAnsi="宋体" w:cs="宋体"/>
                <w:sz w:val="24"/>
                <w:szCs w:val="24"/>
              </w:rPr>
            </w:pPr>
            <w:r>
              <w:rPr>
                <w:rFonts w:hint="eastAsia" w:ascii="宋体" w:hAnsi="宋体" w:cs="宋体"/>
                <w:sz w:val="24"/>
                <w:szCs w:val="24"/>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pPr>
              <w:jc w:val="center"/>
              <w:rPr>
                <w:rFonts w:ascii="宋体" w:hAnsi="宋体" w:cs="宋体"/>
                <w:sz w:val="24"/>
                <w:szCs w:val="24"/>
              </w:rPr>
            </w:pPr>
            <w:r>
              <w:rPr>
                <w:rFonts w:hint="eastAsia" w:ascii="宋体" w:hAnsi="宋体" w:cs="宋体"/>
                <w:b/>
                <w:bCs/>
                <w:sz w:val="24"/>
                <w:szCs w:val="24"/>
              </w:rPr>
              <w:t>配电安全运维</w:t>
            </w:r>
            <w:r>
              <w:rPr>
                <w:rFonts w:ascii="宋体" w:hAnsi="宋体" w:cs="宋体"/>
                <w:b/>
                <w:bCs/>
                <w:sz w:val="24"/>
                <w:szCs w:val="24"/>
              </w:rPr>
              <w:t>服务</w:t>
            </w: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设</w:t>
            </w:r>
            <w:bookmarkStart w:id="0" w:name="_GoBack"/>
            <w:bookmarkEnd w:id="0"/>
            <w:r>
              <w:rPr>
                <w:rFonts w:hint="eastAsia" w:ascii="宋体" w:hAnsi="宋体" w:cs="宋体"/>
                <w:sz w:val="24"/>
                <w:szCs w:val="24"/>
              </w:rPr>
              <w:t>备建档</w:t>
            </w:r>
          </w:p>
        </w:tc>
        <w:tc>
          <w:tcPr>
            <w:tcW w:w="3705" w:type="pct"/>
            <w:gridSpan w:val="2"/>
          </w:tcPr>
          <w:p>
            <w:pPr>
              <w:rPr>
                <w:rFonts w:ascii="宋体" w:hAnsi="宋体" w:cs="宋体"/>
                <w:sz w:val="24"/>
                <w:szCs w:val="24"/>
              </w:rPr>
            </w:pPr>
            <w:r>
              <w:rPr>
                <w:rFonts w:hint="eastAsia" w:ascii="宋体" w:hAnsi="宋体" w:cs="宋体"/>
                <w:sz w:val="24"/>
                <w:szCs w:val="24"/>
              </w:rPr>
              <w:t>对服务范围内的配电设备建立系统设备台账，制定该配电系统专属的设备巡视工单。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对服务范围配置有后备电源或有多台配变联络供电的结线逻辑和负荷类型，编制应急供电预案。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设备巡视、检修及报告</w:t>
            </w:r>
          </w:p>
        </w:tc>
        <w:tc>
          <w:tcPr>
            <w:tcW w:w="3705" w:type="pct"/>
            <w:gridSpan w:val="2"/>
          </w:tcPr>
          <w:p>
            <w:pPr>
              <w:rPr>
                <w:rFonts w:ascii="宋体" w:hAnsi="宋体" w:cs="宋体"/>
                <w:sz w:val="24"/>
                <w:szCs w:val="24"/>
              </w:rPr>
            </w:pPr>
            <w:r>
              <w:rPr>
                <w:rFonts w:hint="eastAsia" w:ascii="宋体" w:hAnsi="宋体" w:cs="宋体"/>
                <w:sz w:val="24"/>
                <w:szCs w:val="24"/>
              </w:rPr>
              <w:t>每月两次对服务范围内的配电设备进行巡视检查，系统记录相关巡检数据，每次巡视作业前后实时短信通知，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对巡视发现的电气缺陷或安全隐患按缺陷处理等级进行系统记录，实施计划性检修。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免人工费（材料费由客户负责）为服务范围内的配电设备进行检修工作。</w:t>
            </w:r>
          </w:p>
          <w:p>
            <w:pPr>
              <w:rPr>
                <w:rFonts w:ascii="宋体" w:hAnsi="宋体" w:cs="宋体"/>
                <w:sz w:val="24"/>
                <w:szCs w:val="24"/>
              </w:rPr>
            </w:pPr>
            <w:r>
              <w:rPr>
                <w:rFonts w:hint="eastAsia" w:ascii="宋体" w:hAnsi="宋体" w:cs="宋体"/>
                <w:sz w:val="24"/>
                <w:szCs w:val="24"/>
              </w:rPr>
              <w:t>重要故障于1日内完成维修工作；</w:t>
            </w:r>
          </w:p>
          <w:p>
            <w:pPr>
              <w:rPr>
                <w:rFonts w:ascii="宋体" w:hAnsi="宋体" w:cs="宋体"/>
                <w:sz w:val="24"/>
                <w:szCs w:val="24"/>
              </w:rPr>
            </w:pPr>
            <w:r>
              <w:rPr>
                <w:rFonts w:hint="eastAsia" w:ascii="宋体" w:hAnsi="宋体" w:cs="宋体"/>
                <w:sz w:val="24"/>
                <w:szCs w:val="24"/>
              </w:rPr>
              <w:t>一般故障于3日内完成维修工作；</w:t>
            </w:r>
          </w:p>
          <w:p>
            <w:pPr>
              <w:rPr>
                <w:rFonts w:ascii="宋体" w:hAnsi="宋体" w:cs="宋体"/>
                <w:sz w:val="24"/>
                <w:szCs w:val="24"/>
              </w:rPr>
            </w:pPr>
            <w:r>
              <w:rPr>
                <w:rFonts w:hint="eastAsia" w:ascii="宋体" w:hAnsi="宋体" w:cs="宋体"/>
                <w:sz w:val="24"/>
                <w:szCs w:val="24"/>
              </w:rPr>
              <w:t>非影响安全故障于7日内完成维修工作。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对电力主管部门在安全检查中提出的关于服务范围内的设备缺陷，免人工费进行整改。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定期出具《安全运维报告》，提供安全用电策略。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1" w:type="pct"/>
            <w:vMerge w:val="continue"/>
            <w:vAlign w:val="center"/>
          </w:tcPr>
          <w:p>
            <w:pPr>
              <w:jc w:val="center"/>
              <w:rPr>
                <w:rFonts w:ascii="宋体" w:hAnsi="宋体" w:cs="宋体"/>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3．工器具定期检测</w:t>
            </w:r>
          </w:p>
        </w:tc>
        <w:tc>
          <w:tcPr>
            <w:tcW w:w="3705" w:type="pct"/>
            <w:gridSpan w:val="2"/>
          </w:tcPr>
          <w:p>
            <w:pPr>
              <w:rPr>
                <w:rFonts w:ascii="宋体" w:hAnsi="宋体" w:cs="宋体"/>
                <w:sz w:val="24"/>
                <w:szCs w:val="24"/>
              </w:rPr>
            </w:pPr>
            <w:r>
              <w:rPr>
                <w:rFonts w:hint="eastAsia" w:ascii="宋体" w:hAnsi="宋体" w:cs="宋体"/>
                <w:sz w:val="24"/>
                <w:szCs w:val="24"/>
              </w:rPr>
              <w:t>按照电力规程要求，对服务范围内配置的绝缘工器具按标准项目免费进行定期预测。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1" w:type="pct"/>
            <w:vAlign w:val="center"/>
          </w:tcPr>
          <w:p>
            <w:pPr>
              <w:jc w:val="center"/>
              <w:rPr>
                <w:rFonts w:ascii="宋体" w:hAnsi="宋体" w:cs="宋体"/>
                <w:sz w:val="24"/>
                <w:szCs w:val="24"/>
              </w:rPr>
            </w:pPr>
            <w:r>
              <w:rPr>
                <w:rFonts w:ascii="宋体" w:hAnsi="宋体" w:cs="宋体"/>
                <w:b/>
                <w:bCs/>
                <w:sz w:val="24"/>
                <w:szCs w:val="24"/>
              </w:rPr>
              <w:t>应急故障抢修服务</w:t>
            </w:r>
          </w:p>
        </w:tc>
        <w:tc>
          <w:tcPr>
            <w:tcW w:w="602" w:type="pct"/>
            <w:vAlign w:val="center"/>
          </w:tcPr>
          <w:p>
            <w:pPr>
              <w:jc w:val="center"/>
              <w:rPr>
                <w:rFonts w:ascii="宋体" w:hAnsi="宋体" w:cs="宋体"/>
                <w:sz w:val="24"/>
                <w:szCs w:val="24"/>
              </w:rPr>
            </w:pPr>
            <w:r>
              <w:rPr>
                <w:rFonts w:hint="eastAsia" w:ascii="宋体" w:hAnsi="宋体" w:cs="宋体"/>
                <w:sz w:val="24"/>
                <w:szCs w:val="24"/>
              </w:rPr>
              <w:t>4．</w:t>
            </w:r>
            <w:r>
              <w:rPr>
                <w:rFonts w:ascii="宋体" w:hAnsi="宋体" w:cs="宋体"/>
                <w:sz w:val="24"/>
                <w:szCs w:val="24"/>
              </w:rPr>
              <w:t>电力抢修</w:t>
            </w:r>
          </w:p>
        </w:tc>
        <w:tc>
          <w:tcPr>
            <w:tcW w:w="3705" w:type="pct"/>
            <w:gridSpan w:val="2"/>
          </w:tcPr>
          <w:p>
            <w:pPr>
              <w:rPr>
                <w:rFonts w:ascii="宋体" w:hAnsi="宋体" w:cs="宋体"/>
                <w:sz w:val="24"/>
                <w:szCs w:val="24"/>
              </w:rPr>
            </w:pPr>
            <w:r>
              <w:rPr>
                <w:rFonts w:hint="eastAsia" w:ascii="宋体" w:hAnsi="宋体" w:cs="宋体"/>
                <w:sz w:val="24"/>
                <w:szCs w:val="24"/>
              </w:rPr>
              <w:t>设</w:t>
            </w:r>
            <w:r>
              <w:rPr>
                <w:rFonts w:ascii="宋体" w:hAnsi="宋体" w:cs="宋体"/>
                <w:sz w:val="24"/>
                <w:szCs w:val="24"/>
              </w:rPr>
              <w:t>24小时*365天抢修值班人员，当服务中的配电设备或电力系统出现故障时，我将派出专人（具有从业资质的专业技术人员），专车（携带工具、仪器设备的工程车），在30分内赶至现场处理故障。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1" w:type="pct"/>
            <w:vMerge w:val="restart"/>
            <w:vAlign w:val="center"/>
          </w:tcPr>
          <w:p>
            <w:pPr>
              <w:jc w:val="center"/>
              <w:rPr>
                <w:rFonts w:ascii="宋体" w:hAnsi="宋体" w:cs="宋体"/>
                <w:sz w:val="24"/>
                <w:szCs w:val="24"/>
              </w:rPr>
            </w:pPr>
            <w:r>
              <w:rPr>
                <w:rFonts w:hint="eastAsia" w:ascii="宋体" w:hAnsi="宋体" w:cs="宋体"/>
                <w:b/>
                <w:bCs/>
                <w:sz w:val="24"/>
                <w:szCs w:val="24"/>
              </w:rPr>
              <w:t>能效管理</w:t>
            </w:r>
            <w:r>
              <w:rPr>
                <w:rFonts w:ascii="宋体" w:hAnsi="宋体" w:cs="宋体"/>
                <w:b/>
                <w:bCs/>
                <w:sz w:val="24"/>
                <w:szCs w:val="24"/>
              </w:rPr>
              <w:t>服务</w:t>
            </w: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5．电能数据分析</w:t>
            </w:r>
          </w:p>
        </w:tc>
        <w:tc>
          <w:tcPr>
            <w:tcW w:w="3705" w:type="pct"/>
            <w:gridSpan w:val="2"/>
          </w:tcPr>
          <w:p>
            <w:pPr>
              <w:tabs>
                <w:tab w:val="left" w:pos="1280"/>
              </w:tabs>
              <w:rPr>
                <w:rFonts w:ascii="宋体" w:hAnsi="宋体" w:cs="宋体"/>
                <w:sz w:val="24"/>
                <w:szCs w:val="24"/>
              </w:rPr>
            </w:pPr>
            <w:r>
              <w:rPr>
                <w:rFonts w:hint="eastAsia" w:ascii="宋体" w:hAnsi="宋体" w:cs="宋体"/>
                <w:sz w:val="24"/>
                <w:szCs w:val="24"/>
              </w:rPr>
              <w:t>根据企业生产和用电特征，分析、评估能效优化策略和效益，个性化定制能效优化方案；</w:t>
            </w:r>
          </w:p>
          <w:p>
            <w:pPr>
              <w:rPr>
                <w:rFonts w:ascii="宋体" w:hAnsi="宋体" w:cs="宋体"/>
                <w:sz w:val="24"/>
                <w:szCs w:val="24"/>
              </w:rPr>
            </w:pPr>
            <w:r>
              <w:rPr>
                <w:rFonts w:hint="eastAsia" w:ascii="宋体" w:hAnsi="宋体" w:cs="宋体"/>
                <w:sz w:val="24"/>
                <w:szCs w:val="24"/>
              </w:rPr>
              <w:t>①实时掌握企业用电成本是否合理；</w:t>
            </w:r>
          </w:p>
          <w:p>
            <w:pPr>
              <w:rPr>
                <w:rFonts w:ascii="宋体" w:hAnsi="宋体" w:cs="宋体"/>
                <w:sz w:val="24"/>
                <w:szCs w:val="24"/>
              </w:rPr>
            </w:pPr>
            <w:r>
              <w:rPr>
                <w:rFonts w:hint="eastAsia" w:ascii="宋体" w:hAnsi="宋体" w:cs="宋体"/>
                <w:sz w:val="24"/>
                <w:szCs w:val="24"/>
              </w:rPr>
              <w:t>②实时查看峰谷平电费实时及历史数据，结合生产用电进行调整，降低用电成本；</w:t>
            </w:r>
          </w:p>
          <w:p>
            <w:pPr>
              <w:rPr>
                <w:rFonts w:ascii="宋体" w:hAnsi="宋体" w:cs="宋体"/>
                <w:sz w:val="24"/>
                <w:szCs w:val="24"/>
              </w:rPr>
            </w:pPr>
            <w:r>
              <w:rPr>
                <w:rFonts w:hint="eastAsia" w:ascii="宋体" w:hAnsi="宋体" w:cs="宋体"/>
                <w:sz w:val="24"/>
                <w:szCs w:val="24"/>
              </w:rPr>
              <w:t>③根据变压器负荷率历史数据，结合企业未来生产预期，调整用电负荷，降低用电成本；</w:t>
            </w:r>
          </w:p>
          <w:p>
            <w:pPr>
              <w:rPr>
                <w:rFonts w:ascii="宋体" w:hAnsi="宋体" w:cs="宋体"/>
                <w:sz w:val="24"/>
                <w:szCs w:val="24"/>
              </w:rPr>
            </w:pPr>
            <w:r>
              <w:rPr>
                <w:rFonts w:hint="eastAsia" w:ascii="宋体" w:hAnsi="宋体" w:cs="宋体"/>
                <w:sz w:val="24"/>
                <w:szCs w:val="24"/>
              </w:rPr>
              <w:t>④定期出具《能效运维报告》，提供经济用电策略。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提供能效升级改造技术方案，把控项目成本收益。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负荷曲线及预测。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6．无功受理服务</w:t>
            </w: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无功治理优化策略</w:t>
            </w:r>
          </w:p>
        </w:tc>
        <w:tc>
          <w:tcPr>
            <w:tcW w:w="3102" w:type="pct"/>
          </w:tcPr>
          <w:p>
            <w:pPr>
              <w:rPr>
                <w:rFonts w:ascii="宋体" w:hAnsi="宋体" w:cs="宋体"/>
                <w:sz w:val="24"/>
                <w:szCs w:val="24"/>
              </w:rPr>
            </w:pPr>
            <w:r>
              <w:rPr>
                <w:rFonts w:hint="eastAsia" w:ascii="宋体" w:hAnsi="宋体" w:cs="宋体"/>
                <w:sz w:val="24"/>
                <w:szCs w:val="24"/>
              </w:rPr>
              <w:t>能效专家结合企业的历史用能数据，结合24小时在线负荷监测，进行优化空间分析，并确定优化方案。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102" w:type="pct"/>
          </w:tcPr>
          <w:p>
            <w:pPr>
              <w:rPr>
                <w:rFonts w:ascii="宋体" w:hAnsi="宋体" w:cs="宋体"/>
                <w:sz w:val="24"/>
                <w:szCs w:val="24"/>
              </w:rPr>
            </w:pPr>
            <w:r>
              <w:rPr>
                <w:rFonts w:hint="eastAsia" w:ascii="宋体" w:hAnsi="宋体" w:cs="宋体"/>
                <w:sz w:val="24"/>
                <w:szCs w:val="24"/>
              </w:rPr>
              <w:t>进行优化方案的现场实施改造。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优化措施管控</w:t>
            </w:r>
          </w:p>
        </w:tc>
        <w:tc>
          <w:tcPr>
            <w:tcW w:w="3102" w:type="pct"/>
          </w:tcPr>
          <w:p>
            <w:pPr>
              <w:rPr>
                <w:rFonts w:ascii="宋体" w:hAnsi="宋体" w:cs="宋体"/>
                <w:sz w:val="24"/>
                <w:szCs w:val="24"/>
              </w:rPr>
            </w:pPr>
            <w:r>
              <w:rPr>
                <w:rFonts w:hint="eastAsia" w:ascii="宋体" w:hAnsi="宋体" w:cs="宋体"/>
                <w:sz w:val="24"/>
                <w:szCs w:val="24"/>
              </w:rPr>
              <w:t>提供24小时在线监测设备，持续监测电能质量优化效果，对异常情况预警、处理。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102" w:type="pct"/>
          </w:tcPr>
          <w:p>
            <w:pPr>
              <w:rPr>
                <w:rFonts w:ascii="宋体" w:hAnsi="宋体" w:cs="宋体"/>
                <w:sz w:val="24"/>
                <w:szCs w:val="24"/>
              </w:rPr>
            </w:pPr>
            <w:r>
              <w:rPr>
                <w:rFonts w:hint="eastAsia" w:ascii="宋体" w:hAnsi="宋体" w:cs="宋体"/>
                <w:sz w:val="24"/>
                <w:szCs w:val="24"/>
              </w:rPr>
              <w:t>根据客户生产用电情况，为客户及时优化调整力调电费优化措施。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持续维护服务</w:t>
            </w:r>
          </w:p>
        </w:tc>
        <w:tc>
          <w:tcPr>
            <w:tcW w:w="3102" w:type="pct"/>
          </w:tcPr>
          <w:p>
            <w:pPr>
              <w:rPr>
                <w:rFonts w:ascii="宋体" w:hAnsi="宋体" w:cs="宋体"/>
                <w:sz w:val="24"/>
                <w:szCs w:val="24"/>
              </w:rPr>
            </w:pPr>
            <w:r>
              <w:rPr>
                <w:rFonts w:hint="eastAsia" w:ascii="宋体" w:hAnsi="宋体" w:cs="宋体"/>
                <w:sz w:val="24"/>
                <w:szCs w:val="24"/>
              </w:rPr>
              <w:t>能效技师每月一次上门对无功优化设备进行检测、维护服务。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能效分析优化策略</w:t>
            </w:r>
          </w:p>
        </w:tc>
        <w:tc>
          <w:tcPr>
            <w:tcW w:w="3102" w:type="pct"/>
          </w:tcPr>
          <w:p>
            <w:pPr>
              <w:rPr>
                <w:rFonts w:ascii="宋体" w:hAnsi="宋体" w:cs="宋体"/>
                <w:sz w:val="24"/>
                <w:szCs w:val="24"/>
              </w:rPr>
            </w:pPr>
            <w:r>
              <w:rPr>
                <w:rFonts w:hint="eastAsia" w:ascii="宋体" w:hAnsi="宋体" w:cs="宋体"/>
                <w:sz w:val="24"/>
                <w:szCs w:val="24"/>
              </w:rPr>
              <w:t>每月出具用电能效报告。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602" w:type="pct"/>
            <w:vMerge w:val="continue"/>
          </w:tcPr>
          <w:p>
            <w:pPr>
              <w:rPr>
                <w:rFonts w:ascii="宋体" w:hAnsi="宋体" w:cs="宋体"/>
                <w:sz w:val="24"/>
                <w:szCs w:val="24"/>
              </w:rPr>
            </w:pPr>
          </w:p>
        </w:tc>
        <w:tc>
          <w:tcPr>
            <w:tcW w:w="3102" w:type="pct"/>
          </w:tcPr>
          <w:p>
            <w:pPr>
              <w:rPr>
                <w:rFonts w:ascii="宋体" w:hAnsi="宋体" w:cs="宋体"/>
                <w:sz w:val="24"/>
                <w:szCs w:val="24"/>
              </w:rPr>
            </w:pPr>
            <w:r>
              <w:rPr>
                <w:rFonts w:hint="eastAsia" w:ascii="宋体" w:hAnsi="宋体" w:cs="宋体"/>
                <w:sz w:val="24"/>
                <w:szCs w:val="24"/>
              </w:rPr>
              <w:t>专业能效分析，诊断是否存在能效优化空间，个性化定制能效优化方案。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602" w:type="pct"/>
            <w:vMerge w:val="continue"/>
          </w:tcPr>
          <w:p>
            <w:pPr>
              <w:rPr>
                <w:rFonts w:ascii="宋体" w:hAnsi="宋体" w:cs="宋体"/>
                <w:sz w:val="24"/>
                <w:szCs w:val="24"/>
              </w:rPr>
            </w:pPr>
          </w:p>
        </w:tc>
        <w:tc>
          <w:tcPr>
            <w:tcW w:w="3102" w:type="pct"/>
          </w:tcPr>
          <w:p>
            <w:pPr>
              <w:rPr>
                <w:rFonts w:ascii="宋体" w:hAnsi="宋体" w:cs="宋体"/>
                <w:sz w:val="24"/>
                <w:szCs w:val="24"/>
              </w:rPr>
            </w:pPr>
            <w:r>
              <w:rPr>
                <w:rFonts w:hint="eastAsia" w:ascii="宋体" w:hAnsi="宋体" w:cs="宋体"/>
                <w:sz w:val="24"/>
                <w:szCs w:val="24"/>
              </w:rPr>
              <w:t>提供升级改造技术方案，把控项目成本收益比。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pPr>
              <w:jc w:val="center"/>
              <w:rPr>
                <w:rFonts w:ascii="宋体" w:hAnsi="宋体" w:cs="宋体"/>
                <w:sz w:val="24"/>
                <w:szCs w:val="24"/>
              </w:rPr>
            </w:pPr>
            <w:r>
              <w:rPr>
                <w:rFonts w:ascii="宋体" w:hAnsi="宋体" w:cs="宋体"/>
                <w:b/>
                <w:bCs/>
                <w:sz w:val="24"/>
                <w:szCs w:val="24"/>
              </w:rPr>
              <w:t>提供</w:t>
            </w:r>
            <w:r>
              <w:rPr>
                <w:rFonts w:hint="eastAsia" w:ascii="宋体" w:hAnsi="宋体" w:cs="宋体"/>
                <w:b/>
                <w:bCs/>
                <w:sz w:val="24"/>
                <w:szCs w:val="24"/>
              </w:rPr>
              <w:t>配电设备预防性试验</w:t>
            </w:r>
            <w:r>
              <w:rPr>
                <w:rFonts w:ascii="宋体" w:hAnsi="宋体" w:cs="宋体"/>
                <w:b/>
                <w:bCs/>
                <w:sz w:val="24"/>
                <w:szCs w:val="24"/>
              </w:rPr>
              <w:t>服务</w:t>
            </w:r>
          </w:p>
        </w:tc>
        <w:tc>
          <w:tcPr>
            <w:tcW w:w="602" w:type="pct"/>
            <w:vAlign w:val="center"/>
          </w:tcPr>
          <w:p>
            <w:pPr>
              <w:jc w:val="center"/>
              <w:rPr>
                <w:rFonts w:ascii="宋体" w:hAnsi="宋体" w:cs="宋体"/>
                <w:sz w:val="24"/>
                <w:szCs w:val="24"/>
              </w:rPr>
            </w:pP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现场勘查</w:t>
            </w:r>
          </w:p>
        </w:tc>
        <w:tc>
          <w:tcPr>
            <w:tcW w:w="3705" w:type="pct"/>
            <w:gridSpan w:val="2"/>
          </w:tcPr>
          <w:p>
            <w:pPr>
              <w:rPr>
                <w:rFonts w:ascii="宋体" w:hAnsi="宋体" w:cs="宋体"/>
                <w:sz w:val="24"/>
                <w:szCs w:val="24"/>
              </w:rPr>
            </w:pPr>
            <w:r>
              <w:rPr>
                <w:rFonts w:hint="eastAsia" w:ascii="宋体" w:hAnsi="宋体" w:cs="宋体"/>
                <w:sz w:val="24"/>
                <w:szCs w:val="24"/>
              </w:rPr>
              <w:t>试验工程师上门全面勘查配电设备运行环境及状态，充分掌握现场技术要点。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91" w:type="pct"/>
            <w:vMerge w:val="continue"/>
            <w:vAlign w:val="center"/>
          </w:tcPr>
          <w:p>
            <w:pPr>
              <w:jc w:val="center"/>
              <w:rPr>
                <w:rFonts w:ascii="宋体" w:hAnsi="宋体" w:cs="宋体"/>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8</w:t>
            </w:r>
            <w:r>
              <w:rPr>
                <w:rFonts w:ascii="宋体" w:hAnsi="宋体" w:cs="宋体"/>
                <w:sz w:val="24"/>
                <w:szCs w:val="24"/>
              </w:rPr>
              <w:t>.</w:t>
            </w:r>
            <w:r>
              <w:rPr>
                <w:rFonts w:hint="eastAsia" w:ascii="宋体" w:hAnsi="宋体" w:cs="宋体"/>
                <w:sz w:val="24"/>
                <w:szCs w:val="24"/>
              </w:rPr>
              <w:t>制定试验实施方案</w:t>
            </w:r>
          </w:p>
        </w:tc>
        <w:tc>
          <w:tcPr>
            <w:tcW w:w="3705" w:type="pct"/>
            <w:gridSpan w:val="2"/>
          </w:tcPr>
          <w:p>
            <w:pPr>
              <w:rPr>
                <w:rFonts w:ascii="宋体" w:hAnsi="宋体" w:cs="宋体"/>
                <w:sz w:val="24"/>
                <w:szCs w:val="24"/>
              </w:rPr>
            </w:pPr>
            <w:r>
              <w:rPr>
                <w:rFonts w:hint="eastAsia" w:ascii="宋体" w:hAnsi="宋体" w:cs="宋体"/>
                <w:sz w:val="24"/>
                <w:szCs w:val="24"/>
              </w:rPr>
              <w:t>结合用户生产用电计划，制定详细试验实施方案，</w:t>
            </w:r>
            <w:r>
              <w:rPr>
                <w:rFonts w:hint="eastAsia" w:ascii="宋体" w:hAnsi="宋体" w:cs="宋体"/>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9．现场实施</w:t>
            </w:r>
          </w:p>
        </w:tc>
        <w:tc>
          <w:tcPr>
            <w:tcW w:w="3705" w:type="pct"/>
            <w:gridSpan w:val="2"/>
          </w:tcPr>
          <w:p>
            <w:pPr>
              <w:rPr>
                <w:rFonts w:ascii="宋体" w:hAnsi="宋体" w:cs="宋体"/>
                <w:sz w:val="24"/>
                <w:szCs w:val="24"/>
              </w:rPr>
            </w:pPr>
            <w:r>
              <w:rPr>
                <w:rFonts w:hint="eastAsia" w:ascii="宋体" w:hAnsi="宋体" w:cs="宋体"/>
                <w:sz w:val="24"/>
                <w:szCs w:val="24"/>
              </w:rPr>
              <w:t>现场协助客户进行停电操作；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多专业分工联动作业，快速完成试验工作；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试验工作完成后，对设备状况进行全面评估，确保现场具备送电条件；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协助客户进行逐级送电操作，恢复正常生产用电；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Align w:val="center"/>
          </w:tcPr>
          <w:p>
            <w:pPr>
              <w:jc w:val="center"/>
              <w:rPr>
                <w:rFonts w:ascii="宋体" w:hAnsi="宋体" w:cs="宋体"/>
                <w:sz w:val="24"/>
                <w:szCs w:val="24"/>
              </w:rPr>
            </w:pPr>
            <w:r>
              <w:rPr>
                <w:rFonts w:ascii="宋体" w:hAnsi="宋体" w:cs="宋体"/>
                <w:sz w:val="24"/>
                <w:szCs w:val="24"/>
              </w:rPr>
              <w:t>10.</w:t>
            </w:r>
            <w:r>
              <w:rPr>
                <w:rFonts w:hint="eastAsia" w:ascii="宋体" w:hAnsi="宋体" w:cs="宋体"/>
                <w:sz w:val="24"/>
                <w:szCs w:val="24"/>
              </w:rPr>
              <w:t>服务范围</w:t>
            </w:r>
          </w:p>
        </w:tc>
        <w:tc>
          <w:tcPr>
            <w:tcW w:w="3705" w:type="pct"/>
            <w:gridSpan w:val="2"/>
          </w:tcPr>
          <w:p>
            <w:pPr>
              <w:rPr>
                <w:rFonts w:ascii="宋体" w:hAnsi="宋体" w:cs="宋体"/>
                <w:sz w:val="24"/>
                <w:szCs w:val="24"/>
              </w:rPr>
            </w:pPr>
            <w:r>
              <w:rPr>
                <w:rFonts w:hint="eastAsia" w:ascii="宋体" w:hAnsi="宋体" w:cs="宋体"/>
                <w:sz w:val="24"/>
                <w:szCs w:val="24"/>
              </w:rPr>
              <w:t>包含该台应试变压器和所连接的高压开关、互感器、通过器、电缆、接地装置、母线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试验内容</w:t>
            </w:r>
          </w:p>
        </w:tc>
        <w:tc>
          <w:tcPr>
            <w:tcW w:w="3705" w:type="pct"/>
            <w:gridSpan w:val="2"/>
          </w:tcPr>
          <w:p>
            <w:pPr>
              <w:rPr>
                <w:rFonts w:ascii="宋体" w:hAnsi="宋体" w:cs="宋体"/>
                <w:sz w:val="24"/>
                <w:szCs w:val="24"/>
              </w:rPr>
            </w:pPr>
            <w:r>
              <w:rPr>
                <w:rFonts w:hint="eastAsia" w:ascii="宋体" w:hAnsi="宋体" w:cs="宋体"/>
                <w:sz w:val="24"/>
                <w:szCs w:val="24"/>
              </w:rPr>
              <w:t>变压器;绕组绝缘电阻、绕组直流电阻、交流耐压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tcBorders/>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互感器：绝缘电阻、交流耐压、直流电阻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tcBorders/>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避雷器：绝缘电阻、直流参考电压、0.75倍UmA下的泄漏电流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tcBorders/>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高压开关：绝缘电阻、导电回路、直流电阻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tcBorders/>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接地装置：接地电阻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tcBorders/>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母线：绝缘电阻、交流耐压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tcBorders/>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ascii="宋体" w:hAnsi="宋体" w:cs="宋体"/>
                <w:sz w:val="24"/>
                <w:szCs w:val="24"/>
              </w:rPr>
              <w:t>.</w:t>
            </w:r>
            <w:r>
              <w:rPr>
                <w:rFonts w:hint="eastAsia" w:ascii="宋体" w:hAnsi="宋体" w:cs="宋体"/>
                <w:sz w:val="24"/>
                <w:szCs w:val="24"/>
              </w:rPr>
              <w:t>保护装置外观检查、装置检验、整组试验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pPr>
              <w:jc w:val="center"/>
              <w:rPr>
                <w:rFonts w:ascii="宋体" w:hAnsi="宋体" w:cs="宋体"/>
                <w:sz w:val="24"/>
                <w:szCs w:val="24"/>
              </w:rPr>
            </w:pPr>
            <w:r>
              <w:rPr>
                <w:rFonts w:hint="eastAsia" w:ascii="宋体" w:hAnsi="宋体" w:cs="宋体"/>
                <w:b/>
                <w:bCs/>
                <w:sz w:val="24"/>
                <w:szCs w:val="24"/>
              </w:rPr>
              <w:t>配电设备年度检修</w:t>
            </w:r>
            <w:r>
              <w:rPr>
                <w:rFonts w:ascii="宋体" w:hAnsi="宋体" w:cs="宋体"/>
                <w:b/>
                <w:bCs/>
                <w:sz w:val="24"/>
                <w:szCs w:val="24"/>
              </w:rPr>
              <w:t>服务</w:t>
            </w:r>
          </w:p>
        </w:tc>
        <w:tc>
          <w:tcPr>
            <w:tcW w:w="602" w:type="pc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2.现场勘查</w:t>
            </w:r>
          </w:p>
        </w:tc>
        <w:tc>
          <w:tcPr>
            <w:tcW w:w="3705" w:type="pct"/>
            <w:gridSpan w:val="2"/>
          </w:tcPr>
          <w:p>
            <w:pPr>
              <w:rPr>
                <w:rFonts w:ascii="宋体" w:hAnsi="宋体" w:cs="宋体"/>
                <w:sz w:val="24"/>
                <w:szCs w:val="24"/>
              </w:rPr>
            </w:pPr>
            <w:r>
              <w:rPr>
                <w:rFonts w:ascii="宋体" w:hAnsi="宋体" w:cs="宋体"/>
                <w:sz w:val="24"/>
                <w:szCs w:val="24"/>
              </w:rPr>
              <w:t>检修工程师上门全面勘查配电设</w:t>
            </w:r>
            <w:r>
              <w:rPr>
                <w:rFonts w:hint="eastAsia" w:ascii="宋体" w:hAnsi="宋体" w:cs="宋体"/>
                <w:sz w:val="24"/>
                <w:szCs w:val="24"/>
              </w:rPr>
              <w:t>备</w:t>
            </w:r>
            <w:r>
              <w:rPr>
                <w:rFonts w:ascii="宋体" w:hAnsi="宋体" w:cs="宋体"/>
                <w:sz w:val="24"/>
                <w:szCs w:val="24"/>
              </w:rPr>
              <w:t>运行环境及状态，充分</w:t>
            </w:r>
            <w:r>
              <w:rPr>
                <w:rFonts w:hint="eastAsia" w:ascii="宋体" w:hAnsi="宋体" w:cs="宋体"/>
                <w:sz w:val="24"/>
                <w:szCs w:val="24"/>
              </w:rPr>
              <w:t>掌</w:t>
            </w:r>
            <w:r>
              <w:rPr>
                <w:rFonts w:ascii="宋体" w:hAnsi="宋体" w:cs="宋体"/>
                <w:sz w:val="24"/>
                <w:szCs w:val="24"/>
              </w:rPr>
              <w:t>握现场技术要点</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1" w:type="pct"/>
            <w:vMerge w:val="continue"/>
            <w:vAlign w:val="center"/>
          </w:tcPr>
          <w:p>
            <w:pPr>
              <w:jc w:val="center"/>
              <w:rPr>
                <w:rFonts w:ascii="宋体" w:hAnsi="宋体" w:cs="宋体"/>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制</w:t>
            </w:r>
            <w:r>
              <w:rPr>
                <w:rFonts w:ascii="宋体" w:hAnsi="宋体" w:cs="宋体"/>
                <w:sz w:val="24"/>
                <w:szCs w:val="24"/>
              </w:rPr>
              <w:t>定年度检修方案</w:t>
            </w:r>
          </w:p>
        </w:tc>
        <w:tc>
          <w:tcPr>
            <w:tcW w:w="3705" w:type="pct"/>
            <w:gridSpan w:val="2"/>
          </w:tcPr>
          <w:p>
            <w:pPr>
              <w:rPr>
                <w:rFonts w:ascii="宋体" w:hAnsi="宋体" w:cs="宋体"/>
                <w:sz w:val="24"/>
                <w:szCs w:val="24"/>
              </w:rPr>
            </w:pPr>
            <w:r>
              <w:rPr>
                <w:rFonts w:ascii="宋体" w:hAnsi="宋体" w:cs="宋体"/>
                <w:sz w:val="24"/>
                <w:szCs w:val="24"/>
              </w:rPr>
              <w:t>结合用户生产用电计划</w:t>
            </w:r>
            <w:r>
              <w:rPr>
                <w:rFonts w:hint="eastAsia" w:ascii="宋体" w:hAnsi="宋体" w:cs="宋体"/>
                <w:sz w:val="24"/>
                <w:szCs w:val="24"/>
              </w:rPr>
              <w:t>，</w:t>
            </w:r>
            <w:r>
              <w:rPr>
                <w:rFonts w:ascii="宋体" w:hAnsi="宋体" w:cs="宋体"/>
                <w:sz w:val="24"/>
                <w:szCs w:val="24"/>
              </w:rPr>
              <w:t>制定详细设备年度检修实施方案</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4.检修实施</w:t>
            </w:r>
          </w:p>
        </w:tc>
        <w:tc>
          <w:tcPr>
            <w:tcW w:w="3705" w:type="pct"/>
            <w:gridSpan w:val="2"/>
          </w:tcPr>
          <w:p>
            <w:pPr>
              <w:rPr>
                <w:rFonts w:ascii="宋体" w:hAnsi="宋体" w:cs="宋体"/>
                <w:sz w:val="24"/>
                <w:szCs w:val="24"/>
              </w:rPr>
            </w:pPr>
            <w:r>
              <w:rPr>
                <w:rFonts w:ascii="宋体" w:hAnsi="宋体" w:cs="宋体"/>
                <w:sz w:val="24"/>
                <w:szCs w:val="24"/>
              </w:rPr>
              <w:t>现场协助客户进行停电操作</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ascii="宋体" w:hAnsi="宋体" w:cs="宋体"/>
                <w:sz w:val="24"/>
                <w:szCs w:val="24"/>
              </w:rPr>
              <w:t>专业装备齐全、备品</w:t>
            </w:r>
            <w:r>
              <w:rPr>
                <w:rFonts w:hint="eastAsia" w:ascii="宋体" w:hAnsi="宋体" w:cs="宋体"/>
                <w:sz w:val="24"/>
                <w:szCs w:val="24"/>
              </w:rPr>
              <w:t>备</w:t>
            </w:r>
            <w:r>
              <w:rPr>
                <w:rFonts w:ascii="宋体" w:hAnsi="宋体" w:cs="宋体"/>
                <w:sz w:val="24"/>
                <w:szCs w:val="24"/>
              </w:rPr>
              <w:t>件丰富，线程多专业分工联动作业，快速完成设备检修工作</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ascii="宋体" w:hAnsi="宋体" w:cs="宋体"/>
                <w:sz w:val="24"/>
                <w:szCs w:val="24"/>
              </w:rPr>
              <w:t>检修工作完成后，对设备状况进行全面评估，</w:t>
            </w:r>
            <w:r>
              <w:rPr>
                <w:rFonts w:hint="eastAsia" w:ascii="宋体" w:hAnsi="宋体" w:cs="宋体"/>
                <w:sz w:val="24"/>
                <w:szCs w:val="24"/>
              </w:rPr>
              <w:t>确</w:t>
            </w:r>
            <w:r>
              <w:rPr>
                <w:rFonts w:ascii="宋体" w:hAnsi="宋体" w:cs="宋体"/>
                <w:sz w:val="24"/>
                <w:szCs w:val="24"/>
              </w:rPr>
              <w:t>保现场具</w:t>
            </w:r>
            <w:r>
              <w:rPr>
                <w:rFonts w:hint="eastAsia" w:ascii="宋体" w:hAnsi="宋体" w:cs="宋体"/>
                <w:sz w:val="24"/>
                <w:szCs w:val="24"/>
              </w:rPr>
              <w:t>备</w:t>
            </w:r>
            <w:r>
              <w:rPr>
                <w:rFonts w:ascii="宋体" w:hAnsi="宋体" w:cs="宋体"/>
                <w:sz w:val="24"/>
                <w:szCs w:val="24"/>
              </w:rPr>
              <w:t>送电条件</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ascii="宋体" w:hAnsi="宋体" w:cs="宋体"/>
                <w:sz w:val="24"/>
                <w:szCs w:val="24"/>
              </w:rPr>
              <w:t>协助客户进行逐级送电操作，恢复正常生产用电</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5.服务范围</w:t>
            </w:r>
          </w:p>
        </w:tc>
        <w:tc>
          <w:tcPr>
            <w:tcW w:w="3705" w:type="pct"/>
            <w:gridSpan w:val="2"/>
          </w:tcPr>
          <w:p>
            <w:pPr>
              <w:rPr>
                <w:rFonts w:ascii="宋体" w:hAnsi="宋体" w:cs="宋体"/>
                <w:sz w:val="24"/>
                <w:szCs w:val="24"/>
              </w:rPr>
            </w:pPr>
            <w:r>
              <w:rPr>
                <w:rFonts w:ascii="宋体" w:hAnsi="宋体" w:cs="宋体"/>
                <w:sz w:val="24"/>
                <w:szCs w:val="24"/>
              </w:rPr>
              <w:t>包含配电房内10</w:t>
            </w:r>
            <w:r>
              <w:rPr>
                <w:rFonts w:hint="eastAsia" w:ascii="宋体" w:hAnsi="宋体" w:cs="宋体"/>
                <w:sz w:val="24"/>
                <w:szCs w:val="24"/>
              </w:rPr>
              <w:t>k</w:t>
            </w:r>
            <w:r>
              <w:rPr>
                <w:rFonts w:ascii="宋体" w:hAnsi="宋体" w:cs="宋体"/>
                <w:sz w:val="24"/>
                <w:szCs w:val="24"/>
              </w:rPr>
              <w:t>V及以下配电柜、配电台架、箱式变电站</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restar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6.</w:t>
            </w:r>
            <w:r>
              <w:rPr>
                <w:rFonts w:hint="eastAsia" w:ascii="宋体" w:hAnsi="宋体" w:cs="宋体"/>
                <w:sz w:val="24"/>
                <w:szCs w:val="24"/>
              </w:rPr>
              <w:t>年度维护内容</w:t>
            </w:r>
          </w:p>
        </w:tc>
        <w:tc>
          <w:tcPr>
            <w:tcW w:w="3705" w:type="pct"/>
            <w:gridSpan w:val="2"/>
          </w:tcPr>
          <w:p>
            <w:pPr>
              <w:rPr>
                <w:rFonts w:ascii="宋体" w:hAnsi="宋体" w:cs="宋体"/>
                <w:sz w:val="24"/>
                <w:szCs w:val="24"/>
              </w:rPr>
            </w:pPr>
            <w:r>
              <w:rPr>
                <w:rFonts w:ascii="宋体" w:hAnsi="宋体" w:cs="宋体"/>
                <w:sz w:val="24"/>
                <w:szCs w:val="24"/>
              </w:rPr>
              <w:t>每年不少于1次对服务范围内的配电设各进行停电维护及各用切换测试，维持设备在安全、可靠的运行状态。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ascii="宋体" w:hAnsi="宋体" w:cs="宋体"/>
                <w:sz w:val="24"/>
                <w:szCs w:val="24"/>
              </w:rPr>
              <w:t>对变压器及配电柜内设备元件进行除尘清洁，检查和紧固各回路</w:t>
            </w:r>
            <w:r>
              <w:rPr>
                <w:rFonts w:hint="eastAsia" w:ascii="宋体" w:hAnsi="宋体" w:cs="宋体"/>
                <w:sz w:val="24"/>
                <w:szCs w:val="24"/>
              </w:rPr>
              <w:t>一</w:t>
            </w:r>
            <w:r>
              <w:rPr>
                <w:rFonts w:ascii="宋体" w:hAnsi="宋体" w:cs="宋体"/>
                <w:sz w:val="24"/>
                <w:szCs w:val="24"/>
              </w:rPr>
              <w:t>二次连接部位螺</w:t>
            </w:r>
            <w:r>
              <w:rPr>
                <w:rFonts w:hint="eastAsia" w:ascii="宋体" w:hAnsi="宋体" w:cs="宋体"/>
                <w:sz w:val="24"/>
                <w:szCs w:val="24"/>
              </w:rPr>
              <w:t>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ascii="宋体" w:hAnsi="宋体" w:cs="宋体"/>
                <w:sz w:val="24"/>
                <w:szCs w:val="24"/>
              </w:rPr>
              <w:t>对开关操作传动机构加润滑油</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Merge w:val="continue"/>
            <w:vAlign w:val="center"/>
          </w:tcPr>
          <w:p>
            <w:pPr>
              <w:jc w:val="center"/>
              <w:rPr>
                <w:rFonts w:ascii="宋体" w:hAnsi="宋体" w:cs="宋体"/>
                <w:sz w:val="24"/>
                <w:szCs w:val="24"/>
              </w:rPr>
            </w:pPr>
          </w:p>
        </w:tc>
        <w:tc>
          <w:tcPr>
            <w:tcW w:w="3705" w:type="pct"/>
            <w:gridSpan w:val="2"/>
          </w:tcPr>
          <w:p>
            <w:pPr>
              <w:rPr>
                <w:rFonts w:ascii="宋体" w:hAnsi="宋体" w:cs="宋体"/>
                <w:sz w:val="24"/>
                <w:szCs w:val="24"/>
              </w:rPr>
            </w:pPr>
            <w:r>
              <w:rPr>
                <w:rFonts w:hint="eastAsia" w:ascii="宋体" w:hAnsi="宋体" w:cs="宋体"/>
                <w:sz w:val="24"/>
                <w:szCs w:val="24"/>
              </w:rPr>
              <w:t>排</w:t>
            </w:r>
            <w:r>
              <w:rPr>
                <w:rFonts w:ascii="宋体" w:hAnsi="宋体" w:cs="宋体"/>
                <w:sz w:val="24"/>
                <w:szCs w:val="24"/>
              </w:rPr>
              <w:t>查、封堵配电柜内电缆进出孔洞及屏柜间缝障，防止</w:t>
            </w:r>
            <w:r>
              <w:rPr>
                <w:rFonts w:hint="eastAsia" w:ascii="宋体" w:hAnsi="宋体" w:cs="宋体"/>
                <w:sz w:val="24"/>
                <w:szCs w:val="24"/>
              </w:rPr>
              <w:t>小</w:t>
            </w:r>
            <w:r>
              <w:rPr>
                <w:rFonts w:ascii="宋体" w:hAnsi="宋体" w:cs="宋体"/>
                <w:sz w:val="24"/>
                <w:szCs w:val="24"/>
              </w:rPr>
              <w:t>动物</w:t>
            </w:r>
            <w:r>
              <w:rPr>
                <w:rFonts w:hint="eastAsia" w:ascii="宋体" w:hAnsi="宋体" w:cs="宋体"/>
                <w:sz w:val="24"/>
                <w:szCs w:val="24"/>
              </w:rPr>
              <w:t>窜</w:t>
            </w:r>
            <w:r>
              <w:rPr>
                <w:rFonts w:ascii="宋体" w:hAnsi="宋体" w:cs="宋体"/>
                <w:sz w:val="24"/>
                <w:szCs w:val="24"/>
              </w:rPr>
              <w:t>入带电设备，造成电气事故</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检修报告</w:t>
            </w:r>
          </w:p>
        </w:tc>
        <w:tc>
          <w:tcPr>
            <w:tcW w:w="3705" w:type="pct"/>
            <w:gridSpan w:val="2"/>
          </w:tcPr>
          <w:p>
            <w:pPr>
              <w:rPr>
                <w:rFonts w:ascii="宋体" w:hAnsi="宋体" w:cs="宋体"/>
                <w:sz w:val="24"/>
                <w:szCs w:val="24"/>
              </w:rPr>
            </w:pPr>
            <w:r>
              <w:rPr>
                <w:rFonts w:ascii="宋体" w:hAnsi="宋体" w:cs="宋体"/>
                <w:sz w:val="24"/>
                <w:szCs w:val="24"/>
              </w:rPr>
              <w:t>在电度检修工作完成后，为客户出具详细的检修报告</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pPr>
              <w:jc w:val="center"/>
              <w:rPr>
                <w:rFonts w:ascii="宋体" w:hAnsi="宋体" w:cs="宋体"/>
                <w:sz w:val="24"/>
                <w:szCs w:val="24"/>
              </w:rPr>
            </w:pPr>
            <w:r>
              <w:rPr>
                <w:rFonts w:ascii="宋体" w:hAnsi="宋体" w:cs="宋体"/>
                <w:b/>
                <w:bCs/>
                <w:sz w:val="24"/>
                <w:szCs w:val="24"/>
              </w:rPr>
              <w:t>增值服务</w:t>
            </w:r>
          </w:p>
        </w:tc>
        <w:tc>
          <w:tcPr>
            <w:tcW w:w="602" w:type="pc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8.用电政策及安全用电政策</w:t>
            </w:r>
          </w:p>
        </w:tc>
        <w:tc>
          <w:tcPr>
            <w:tcW w:w="3705" w:type="pct"/>
            <w:gridSpan w:val="2"/>
          </w:tcPr>
          <w:p>
            <w:pPr>
              <w:rPr>
                <w:rFonts w:ascii="宋体" w:hAnsi="宋体" w:cs="宋体"/>
                <w:sz w:val="24"/>
                <w:szCs w:val="24"/>
              </w:rPr>
            </w:pPr>
            <w:r>
              <w:rPr>
                <w:rFonts w:ascii="宋体" w:hAnsi="宋体" w:cs="宋体"/>
                <w:sz w:val="24"/>
                <w:szCs w:val="24"/>
              </w:rPr>
              <w:t>随时给客户推送国家电网最新用电政策信息（电费改动信息、电费波段调整信息、用电安全标准改动等信息。</w:t>
            </w:r>
          </w:p>
          <w:p>
            <w:pPr>
              <w:rPr>
                <w:rFonts w:ascii="宋体" w:hAnsi="宋体" w:cs="宋体"/>
                <w:sz w:val="24"/>
                <w:szCs w:val="24"/>
              </w:rPr>
            </w:pPr>
            <w:r>
              <w:rPr>
                <w:rFonts w:ascii="宋体" w:hAnsi="宋体" w:cs="宋体"/>
                <w:sz w:val="24"/>
                <w:szCs w:val="24"/>
              </w:rPr>
              <w:t>各管理部门最新关于电力的政策信息推送。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b/>
                <w:bCs/>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9.电力技术咨询</w:t>
            </w:r>
          </w:p>
        </w:tc>
        <w:tc>
          <w:tcPr>
            <w:tcW w:w="3705" w:type="pct"/>
            <w:gridSpan w:val="2"/>
          </w:tcPr>
          <w:p>
            <w:pPr>
              <w:rPr>
                <w:rFonts w:ascii="宋体" w:hAnsi="宋体" w:cs="宋体"/>
                <w:sz w:val="24"/>
                <w:szCs w:val="24"/>
              </w:rPr>
            </w:pPr>
            <w:r>
              <w:rPr>
                <w:rFonts w:ascii="宋体" w:hAnsi="宋体" w:cs="宋体"/>
                <w:sz w:val="24"/>
                <w:szCs w:val="24"/>
              </w:rPr>
              <w:t>公司设有技术服务热线，24小时*365天全天候解答客户关于电力系统及电力设备用在使用过程中碰到的技术问题。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vAlign w:val="center"/>
          </w:tcPr>
          <w:p>
            <w:pPr>
              <w:jc w:val="center"/>
              <w:rPr>
                <w:rFonts w:ascii="宋体" w:hAnsi="宋体" w:cs="宋体"/>
                <w:b/>
                <w:bCs/>
                <w:sz w:val="24"/>
                <w:szCs w:val="24"/>
              </w:rPr>
            </w:pPr>
          </w:p>
        </w:tc>
        <w:tc>
          <w:tcPr>
            <w:tcW w:w="602" w:type="pct"/>
            <w:vAlign w:val="center"/>
          </w:tcPr>
          <w:p>
            <w:pPr>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0.电力技术培训</w:t>
            </w:r>
          </w:p>
        </w:tc>
        <w:tc>
          <w:tcPr>
            <w:tcW w:w="3705" w:type="pct"/>
            <w:gridSpan w:val="2"/>
          </w:tcPr>
          <w:p>
            <w:pPr>
              <w:rPr>
                <w:rFonts w:ascii="宋体" w:hAnsi="宋体" w:cs="宋体"/>
                <w:sz w:val="24"/>
                <w:szCs w:val="24"/>
              </w:rPr>
            </w:pPr>
            <w:r>
              <w:rPr>
                <w:rFonts w:ascii="宋体" w:hAnsi="宋体" w:cs="宋体"/>
                <w:sz w:val="24"/>
                <w:szCs w:val="24"/>
              </w:rPr>
              <w:t>公司定期组织专业技术人员至客户单位，进行用电安全知识宣讲、并根据客户电力操作人员制定出相应的电力设备知识及设备实操的培训学习。</w:t>
            </w:r>
          </w:p>
        </w:tc>
      </w:tr>
    </w:tbl>
    <w:p>
      <w:pPr>
        <w:adjustRightInd w:val="0"/>
        <w:spacing w:line="360" w:lineRule="atLeast"/>
        <w:textAlignment w:val="baseline"/>
        <w:rPr>
          <w:rFonts w:hint="eastAsia"/>
          <w:sz w:val="24"/>
          <w:szCs w:val="24"/>
          <w:lang w:val="en-US" w:eastAsia="zh-CN"/>
        </w:rPr>
      </w:pPr>
      <w:r>
        <w:rPr>
          <w:rFonts w:hint="eastAsia"/>
          <w:sz w:val="24"/>
          <w:szCs w:val="24"/>
          <w:lang w:val="en-US" w:eastAsia="zh-CN"/>
        </w:rPr>
        <w:t>特色服务：</w:t>
      </w:r>
    </w:p>
    <w:p>
      <w:pPr>
        <w:adjustRightInd w:val="0"/>
        <w:spacing w:line="360" w:lineRule="atLeast"/>
        <w:textAlignment w:val="baseline"/>
        <w:rPr>
          <w:rFonts w:ascii="宋体" w:hAnsi="宋体" w:cs="黑体"/>
          <w:b/>
          <w:sz w:val="24"/>
          <w:szCs w:val="24"/>
        </w:rPr>
      </w:pPr>
      <w:r>
        <w:rPr>
          <w:rFonts w:hint="eastAsia"/>
          <w:sz w:val="24"/>
          <w:szCs w:val="24"/>
        </w:rPr>
        <w:t>智能化</w:t>
      </w:r>
      <w:r>
        <w:rPr>
          <w:rFonts w:hint="eastAsia" w:ascii="宋体" w:hAnsi="宋体"/>
          <w:kern w:val="0"/>
          <w:sz w:val="24"/>
          <w:szCs w:val="24"/>
        </w:rPr>
        <w:t>运维平台设施用电监测要求：</w:t>
      </w:r>
    </w:p>
    <w:p>
      <w:pPr>
        <w:adjustRightInd w:val="0"/>
        <w:spacing w:line="288" w:lineRule="auto"/>
        <w:ind w:firstLine="480" w:firstLineChars="200"/>
        <w:jc w:val="left"/>
        <w:textAlignment w:val="baseline"/>
        <w:rPr>
          <w:rFonts w:ascii="宋体" w:hAnsi="宋体" w:cs="宋体"/>
          <w:bCs/>
          <w:kern w:val="0"/>
          <w:sz w:val="24"/>
          <w:szCs w:val="24"/>
        </w:rPr>
      </w:pPr>
      <w:r>
        <w:rPr>
          <w:rFonts w:hint="eastAsia" w:ascii="宋体" w:hAnsi="宋体" w:cs="宋体"/>
          <w:bCs/>
          <w:kern w:val="0"/>
          <w:sz w:val="24"/>
          <w:szCs w:val="24"/>
          <w:lang w:val="en-US" w:eastAsia="zh-CN"/>
        </w:rPr>
        <w:t>1</w:t>
      </w:r>
      <w:r>
        <w:rPr>
          <w:rFonts w:ascii="宋体" w:hAnsi="宋体" w:cs="宋体"/>
          <w:bCs/>
          <w:kern w:val="0"/>
          <w:sz w:val="24"/>
          <w:szCs w:val="24"/>
        </w:rPr>
        <w:t>.</w:t>
      </w:r>
      <w:r>
        <w:rPr>
          <w:rFonts w:hint="eastAsia" w:ascii="宋体" w:hAnsi="宋体" w:cs="宋体"/>
          <w:bCs/>
          <w:kern w:val="0"/>
          <w:sz w:val="24"/>
          <w:szCs w:val="24"/>
        </w:rPr>
        <w:t>运维平台软件包</w:t>
      </w:r>
      <w:r>
        <w:rPr>
          <w:rFonts w:hint="eastAsia" w:ascii="宋体" w:hAnsi="宋体" w:cs="宋体"/>
          <w:bCs/>
          <w:color w:val="000000" w:themeColor="text1"/>
          <w:kern w:val="0"/>
          <w:sz w:val="24"/>
          <w:szCs w:val="24"/>
        </w:rPr>
        <w:t>括WEB版软件和手机APP，其中手机APP包括安卓版和苹果版</w:t>
      </w:r>
      <w:r>
        <w:rPr>
          <w:rFonts w:hint="eastAsia" w:ascii="宋体" w:hAnsi="宋体" w:cs="宋体"/>
          <w:bCs/>
          <w:kern w:val="0"/>
          <w:sz w:val="24"/>
          <w:szCs w:val="24"/>
        </w:rPr>
        <w:t>。(提供软件截图予以佐证)</w:t>
      </w:r>
    </w:p>
    <w:p>
      <w:pPr>
        <w:adjustRightInd w:val="0"/>
        <w:spacing w:line="288" w:lineRule="auto"/>
        <w:jc w:val="left"/>
        <w:textAlignment w:val="baseline"/>
        <w:rPr>
          <w:rFonts w:ascii="宋体" w:hAnsi="宋体" w:cs="宋体"/>
          <w:bCs/>
          <w:kern w:val="0"/>
          <w:sz w:val="24"/>
          <w:szCs w:val="24"/>
        </w:rPr>
      </w:pPr>
      <w:r>
        <w:rPr>
          <w:rFonts w:hint="eastAsia" w:ascii="宋体" w:hAnsi="宋体" w:cs="宋体"/>
          <w:bCs/>
          <w:kern w:val="0"/>
          <w:sz w:val="24"/>
          <w:szCs w:val="24"/>
        </w:rPr>
        <w:t>WEB和app软件满足以下功能：</w:t>
      </w:r>
    </w:p>
    <w:p>
      <w:pPr>
        <w:adjustRightInd w:val="0"/>
        <w:spacing w:line="288" w:lineRule="auto"/>
        <w:ind w:firstLine="480" w:firstLineChars="200"/>
        <w:jc w:val="left"/>
        <w:textAlignment w:val="baseline"/>
        <w:rPr>
          <w:rFonts w:ascii="宋体" w:hAnsi="宋体" w:cs="宋体"/>
          <w:bCs/>
          <w:color w:val="000000"/>
          <w:kern w:val="0"/>
          <w:sz w:val="24"/>
          <w:szCs w:val="24"/>
        </w:rPr>
      </w:pPr>
      <w:r>
        <w:rPr>
          <w:rFonts w:ascii="宋体" w:hAnsi="宋体" w:cs="宋体"/>
          <w:bCs/>
          <w:kern w:val="0"/>
          <w:sz w:val="24"/>
          <w:szCs w:val="24"/>
        </w:rPr>
        <w:t>2</w:t>
      </w:r>
      <w:r>
        <w:rPr>
          <w:rFonts w:ascii="宋体" w:hAnsi="宋体" w:cs="宋体"/>
          <w:bCs/>
          <w:color w:val="000000"/>
          <w:kern w:val="0"/>
          <w:sz w:val="24"/>
          <w:szCs w:val="24"/>
        </w:rPr>
        <w:t>.</w:t>
      </w:r>
      <w:r>
        <w:rPr>
          <w:rFonts w:hint="eastAsia" w:ascii="宋体" w:hAnsi="宋体" w:cs="宋体"/>
          <w:bCs/>
          <w:color w:val="000000"/>
          <w:kern w:val="0"/>
          <w:sz w:val="24"/>
          <w:szCs w:val="24"/>
        </w:rPr>
        <w:t>实现对配电室总用电数据，设施用电数据的 24 小时实时采集和监控，采集频率默认5分钟，可配置，采集数据项包含相电压、线电压、电流、三相不平衡度、无功功率、视在功率、功率因数、频率等数据项及其对应时间点。(提供软件截图予以佐证)</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lang w:val="en-US" w:eastAsia="zh-CN"/>
        </w:rPr>
        <w:t>3</w:t>
      </w:r>
      <w:r>
        <w:rPr>
          <w:rFonts w:ascii="宋体" w:hAnsi="宋体" w:cs="宋体"/>
          <w:bCs/>
          <w:color w:val="000000"/>
          <w:kern w:val="0"/>
          <w:sz w:val="24"/>
          <w:szCs w:val="24"/>
        </w:rPr>
        <w:t>.</w:t>
      </w:r>
      <w:r>
        <w:rPr>
          <w:rFonts w:hint="eastAsia" w:ascii="宋体" w:hAnsi="宋体" w:cs="宋体"/>
          <w:bCs/>
          <w:color w:val="000000"/>
          <w:kern w:val="0"/>
          <w:sz w:val="24"/>
          <w:szCs w:val="24"/>
        </w:rPr>
        <w:t>平台能够通过多种手段分析和判断变配电站的运行情况，可以监控变电所的运行状态，变压器的运行状态，</w:t>
      </w:r>
      <w:r>
        <w:rPr>
          <w:rFonts w:hint="eastAsia" w:ascii="宋体" w:hAnsi="宋体" w:cs="宋体"/>
          <w:color w:val="000000"/>
          <w:kern w:val="0"/>
          <w:sz w:val="24"/>
          <w:szCs w:val="24"/>
        </w:rPr>
        <w:t>通过对采集的用电数据进行关联分析、同比分析、环比分析等智能化报表手段分析用电情况，通过对电参量（门磁，水浸，温度，湿度，烟雾，噪声，局放，摄像头）的监控，及时发现变配电站的运行状态异常，并可以报警，可以针对报警进行工单派发，指定责任人和执行人，从而电子化记录并闭环该事件，最终形成用户报告。</w:t>
      </w:r>
      <w:r>
        <w:rPr>
          <w:rFonts w:hint="eastAsia" w:ascii="宋体" w:hAnsi="宋体" w:cs="宋体"/>
          <w:bCs/>
          <w:color w:val="000000"/>
          <w:kern w:val="0"/>
          <w:sz w:val="24"/>
          <w:szCs w:val="24"/>
        </w:rPr>
        <w:t>；</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lang w:val="en-US" w:eastAsia="zh-CN"/>
        </w:rPr>
        <w:t>4</w:t>
      </w:r>
      <w:r>
        <w:rPr>
          <w:rFonts w:ascii="宋体" w:hAnsi="宋体" w:cs="宋体"/>
          <w:bCs/>
          <w:color w:val="000000"/>
          <w:kern w:val="0"/>
          <w:sz w:val="24"/>
          <w:szCs w:val="24"/>
        </w:rPr>
        <w:t>.</w:t>
      </w:r>
      <w:r>
        <w:rPr>
          <w:rFonts w:hint="eastAsia" w:ascii="宋体" w:hAnsi="宋体" w:cs="宋体"/>
          <w:bCs/>
          <w:color w:val="000000"/>
          <w:kern w:val="0"/>
          <w:sz w:val="24"/>
          <w:szCs w:val="24"/>
        </w:rPr>
        <w:t>支持人员定位，人员签到（GPS，支持签到偏差计算），人员巡检轨迹，地图导航，人员管理，任务工单，人员可按地区，公司，部门等划分；</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lang w:val="en-US" w:eastAsia="zh-CN"/>
        </w:rPr>
        <w:t>5</w:t>
      </w:r>
      <w:r>
        <w:rPr>
          <w:rFonts w:ascii="宋体" w:hAnsi="宋体" w:cs="宋体"/>
          <w:bCs/>
          <w:color w:val="000000"/>
          <w:kern w:val="0"/>
          <w:sz w:val="24"/>
          <w:szCs w:val="24"/>
        </w:rPr>
        <w:t>.</w:t>
      </w:r>
      <w:r>
        <w:rPr>
          <w:rFonts w:hint="eastAsia" w:ascii="宋体" w:hAnsi="宋体" w:cs="宋体"/>
          <w:bCs/>
          <w:color w:val="000000"/>
          <w:kern w:val="0"/>
          <w:sz w:val="24"/>
          <w:szCs w:val="24"/>
        </w:rPr>
        <w:t>对于告警信息，平台支持遥信变位（烟感，门磁，水浸等）报警，支持设备通讯状态报警（网关设备，仪表设备等），支持遥测越限报警（相/线电压越限报警，电流越限报警，尖峰平谷电能越限报警，容性/感性无功报警及报警恢复等），越限报警支持自定义，可以对可采集电参量进行上下限设置，具备无限拓展报警类型的能力，可根据客户需要动态配置是否告警。平台应支持短信、APP推送等方式实时推送，网页上会产生报警声音，支持语音播报功能，并在后台形成相关统计汇总数据，备用户溯源查询；报警支持自定义分级，可以对报警划分报警等级，方便用户 对报警进行自定义分类，支持app报警订阅功能，app用户可以选择接收自己认为比较重要的告警推送；相关人员可以对报警信息进行“消息确认”，对于消息处理可以责任到人；</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lang w:val="en-US" w:eastAsia="zh-CN"/>
        </w:rPr>
        <w:t>6</w:t>
      </w:r>
      <w:r>
        <w:rPr>
          <w:rFonts w:ascii="宋体" w:hAnsi="宋体" w:cs="宋体"/>
          <w:bCs/>
          <w:color w:val="000000"/>
          <w:kern w:val="0"/>
          <w:sz w:val="24"/>
          <w:szCs w:val="24"/>
        </w:rPr>
        <w:t>.</w:t>
      </w:r>
      <w:r>
        <w:rPr>
          <w:rFonts w:hint="eastAsia" w:ascii="宋体" w:hAnsi="宋体" w:cs="宋体"/>
          <w:bCs/>
          <w:color w:val="000000"/>
          <w:kern w:val="0"/>
          <w:sz w:val="24"/>
          <w:szCs w:val="24"/>
        </w:rPr>
        <w:t>关于权限，系统支持对特殊业务的增加删除修改，可以动态划分权限给系统管理员，比如能够根据人员的职位，人员角色划分不同的权限（增加删除修改，资源访问），具备管理分公司，或者下属机构的能力。</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lang w:val="en-US" w:eastAsia="zh-CN"/>
        </w:rPr>
        <w:t>7</w:t>
      </w:r>
      <w:r>
        <w:rPr>
          <w:rFonts w:ascii="宋体" w:hAnsi="宋体" w:cs="宋体"/>
          <w:bCs/>
          <w:color w:val="000000"/>
          <w:kern w:val="0"/>
          <w:sz w:val="24"/>
          <w:szCs w:val="24"/>
        </w:rPr>
        <w:t>.</w:t>
      </w:r>
      <w:r>
        <w:rPr>
          <w:rFonts w:hint="eastAsia" w:ascii="宋体" w:hAnsi="宋体" w:cs="宋体"/>
          <w:bCs/>
          <w:color w:val="000000"/>
          <w:kern w:val="0"/>
          <w:sz w:val="24"/>
          <w:szCs w:val="24"/>
        </w:rPr>
        <w:t>关于工单机制，能够实现各种运维工单，比如巡检（地图定位签到，人员轨迹，带时间水印的图片上传），消缺，抢修，报警派单，抢单（可计算人员距离工单所述变电所的距离，可导航前往发生故障的变电所），支持按巡检计划 按日，按周，按月，按年自动按定时任务按计划派发工单等</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lang w:val="en-US" w:eastAsia="zh-CN"/>
        </w:rPr>
        <w:t>8</w:t>
      </w:r>
      <w:r>
        <w:rPr>
          <w:rFonts w:ascii="宋体" w:hAnsi="宋体" w:cs="宋体"/>
          <w:bCs/>
          <w:color w:val="000000"/>
          <w:kern w:val="0"/>
          <w:sz w:val="24"/>
          <w:szCs w:val="24"/>
        </w:rPr>
        <w:t>.</w:t>
      </w:r>
      <w:r>
        <w:rPr>
          <w:rFonts w:hint="eastAsia" w:ascii="宋体" w:hAnsi="宋体" w:cs="宋体"/>
          <w:bCs/>
          <w:color w:val="000000"/>
          <w:kern w:val="0"/>
          <w:sz w:val="24"/>
          <w:szCs w:val="24"/>
        </w:rPr>
        <w:t>手机app和web端需要支持实时配电图查看，现场视频查看，及视频语音对讲，视频截图，视频录像，视频回放等功能；</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lang w:val="en-US" w:eastAsia="zh-CN"/>
        </w:rPr>
        <w:t>9</w:t>
      </w:r>
      <w:r>
        <w:rPr>
          <w:rFonts w:ascii="宋体" w:hAnsi="宋体" w:cs="宋体"/>
          <w:bCs/>
          <w:color w:val="000000"/>
          <w:kern w:val="0"/>
          <w:sz w:val="24"/>
          <w:szCs w:val="24"/>
        </w:rPr>
        <w:t>.</w:t>
      </w:r>
      <w:r>
        <w:rPr>
          <w:rFonts w:hint="eastAsia" w:ascii="宋体" w:hAnsi="宋体" w:cs="宋体"/>
          <w:bCs/>
          <w:color w:val="000000"/>
          <w:kern w:val="0"/>
          <w:sz w:val="24"/>
          <w:szCs w:val="24"/>
        </w:rPr>
        <w:t>关于设备管理及控制，平台支持设备状态显示（灯光，仪表，网关，摄像头），</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支持灯光控制，可以控制亮灭；支持仪表控制（300T仪表），如复位，消音等；支持摄像头（萤石云）云台控制</w:t>
      </w:r>
    </w:p>
    <w:p>
      <w:pPr>
        <w:adjustRightInd w:val="0"/>
        <w:spacing w:line="288"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lang w:val="en-US" w:eastAsia="zh-CN"/>
        </w:rPr>
        <w:t>10</w:t>
      </w:r>
      <w:r>
        <w:rPr>
          <w:rFonts w:ascii="宋体" w:hAnsi="宋体" w:cs="宋体"/>
          <w:bCs/>
          <w:color w:val="000000"/>
          <w:kern w:val="0"/>
          <w:sz w:val="24"/>
          <w:szCs w:val="24"/>
        </w:rPr>
        <w:t>.</w:t>
      </w:r>
      <w:r>
        <w:rPr>
          <w:rFonts w:hint="eastAsia" w:ascii="宋体" w:hAnsi="宋体" w:cs="宋体"/>
          <w:bCs/>
          <w:color w:val="000000"/>
          <w:kern w:val="0"/>
          <w:sz w:val="24"/>
          <w:szCs w:val="24"/>
        </w:rPr>
        <w:t>关于电子档案，平台支持文档的上传和下载功能，能够维护一些常用的文档，功能类似于小云盘；能够将设备信息和巡检项信息录入系统中，支持自定义设备的录入，不限制录入设备的个数，能够对录入的设备进行巡检，并自定义设备巡检项，想巡检什么就定义什么；具备设备报表功能，能统计系统中的所有设备，并对根据设备的质保期提供更换建议</w:t>
      </w:r>
    </w:p>
    <w:p>
      <w:pPr>
        <w:keepNext/>
        <w:keepLines/>
        <w:numPr>
          <w:ilvl w:val="2"/>
          <w:numId w:val="0"/>
        </w:numPr>
        <w:adjustRightInd w:val="0"/>
        <w:spacing w:line="288" w:lineRule="auto"/>
        <w:ind w:firstLine="480" w:firstLineChars="200"/>
        <w:jc w:val="left"/>
        <w:textAlignment w:val="baseline"/>
        <w:outlineLvl w:val="2"/>
        <w:rPr>
          <w:rFonts w:ascii="宋体" w:hAnsi="宋体" w:cs="宋体"/>
          <w:color w:val="000000"/>
          <w:kern w:val="0"/>
          <w:sz w:val="24"/>
          <w:szCs w:val="24"/>
        </w:rPr>
      </w:pPr>
      <w:r>
        <w:rPr>
          <w:rFonts w:hint="eastAsia" w:ascii="宋体" w:hAnsi="宋体" w:cs="宋体"/>
          <w:color w:val="000000"/>
          <w:kern w:val="0"/>
          <w:sz w:val="24"/>
          <w:szCs w:val="24"/>
          <w:lang w:val="en-US" w:eastAsia="zh-CN"/>
        </w:rPr>
        <w:t>11</w:t>
      </w:r>
      <w:r>
        <w:rPr>
          <w:rFonts w:ascii="宋体" w:hAnsi="宋体" w:cs="宋体"/>
          <w:color w:val="000000"/>
          <w:kern w:val="0"/>
          <w:sz w:val="24"/>
          <w:szCs w:val="24"/>
        </w:rPr>
        <w:t>.</w:t>
      </w:r>
      <w:r>
        <w:rPr>
          <w:rFonts w:hint="eastAsia" w:ascii="宋体" w:hAnsi="宋体" w:cs="宋体"/>
          <w:color w:val="000000"/>
          <w:kern w:val="0"/>
          <w:sz w:val="24"/>
          <w:szCs w:val="24"/>
        </w:rPr>
        <w:t>支持生成用户报告，可以按月份为客户生成用户报告，支持打印功能，支持在线编辑功能，支持导出为pdf格式的文件；</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lang w:val="en-US" w:eastAsia="zh-CN"/>
        </w:rPr>
        <w:t>12</w:t>
      </w:r>
      <w:r>
        <w:rPr>
          <w:rFonts w:ascii="宋体" w:hAnsi="宋体" w:cs="宋体"/>
          <w:color w:val="000000"/>
          <w:kern w:val="0"/>
          <w:sz w:val="24"/>
          <w:szCs w:val="24"/>
        </w:rPr>
        <w:t>.</w:t>
      </w:r>
      <w:r>
        <w:rPr>
          <w:rFonts w:hint="eastAsia" w:ascii="宋体" w:hAnsi="宋体" w:cs="宋体"/>
          <w:color w:val="000000"/>
          <w:kern w:val="0"/>
          <w:sz w:val="24"/>
          <w:szCs w:val="24"/>
        </w:rPr>
        <w:t>支持生成数据报表，按日，月，年等查询条件查询配电站的用能情况，及电费核算，支持自定义用电报表的生成</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lang w:val="en-US" w:eastAsia="zh-CN"/>
        </w:rPr>
        <w:t>13</w:t>
      </w:r>
      <w:r>
        <w:rPr>
          <w:rFonts w:ascii="宋体" w:hAnsi="宋体" w:cs="宋体"/>
          <w:color w:val="000000"/>
          <w:kern w:val="0"/>
          <w:sz w:val="24"/>
          <w:szCs w:val="24"/>
        </w:rPr>
        <w:t>.</w:t>
      </w:r>
      <w:r>
        <w:rPr>
          <w:rFonts w:hint="eastAsia" w:ascii="宋体" w:hAnsi="宋体" w:cs="宋体"/>
          <w:color w:val="000000"/>
          <w:kern w:val="0"/>
          <w:sz w:val="24"/>
          <w:szCs w:val="24"/>
        </w:rPr>
        <w:t>支持尖峰平谷等模式的电能统计，及电能费用核算</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lang w:val="en-US" w:eastAsia="zh-CN"/>
        </w:rPr>
        <w:t>14</w:t>
      </w:r>
      <w:r>
        <w:rPr>
          <w:rFonts w:ascii="宋体" w:hAnsi="宋体" w:cs="宋体"/>
          <w:color w:val="000000"/>
          <w:kern w:val="0"/>
          <w:sz w:val="24"/>
          <w:szCs w:val="24"/>
        </w:rPr>
        <w:t>.</w:t>
      </w:r>
      <w:r>
        <w:rPr>
          <w:rFonts w:hint="eastAsia" w:ascii="宋体" w:hAnsi="宋体" w:cs="宋体"/>
          <w:color w:val="000000"/>
          <w:kern w:val="0"/>
          <w:sz w:val="24"/>
          <w:szCs w:val="24"/>
        </w:rPr>
        <w:t>支持电能集抄，整点集抄，线路损耗等功能</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lang w:val="en-US" w:eastAsia="zh-CN"/>
        </w:rPr>
        <w:t>15</w:t>
      </w:r>
      <w:r>
        <w:rPr>
          <w:rFonts w:ascii="宋体" w:hAnsi="宋体" w:cs="宋体"/>
          <w:color w:val="000000"/>
          <w:kern w:val="0"/>
          <w:sz w:val="24"/>
          <w:szCs w:val="24"/>
        </w:rPr>
        <w:t>.</w:t>
      </w:r>
      <w:r>
        <w:rPr>
          <w:rFonts w:hint="eastAsia" w:ascii="宋体" w:hAnsi="宋体" w:cs="宋体"/>
          <w:color w:val="000000"/>
          <w:kern w:val="0"/>
          <w:sz w:val="24"/>
          <w:szCs w:val="24"/>
        </w:rPr>
        <w:t>支持最大需量及实时需量功能</w:t>
      </w:r>
    </w:p>
    <w:p>
      <w:pPr>
        <w:adjustRightInd w:val="0"/>
        <w:spacing w:line="360" w:lineRule="atLeast"/>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lang w:val="en-US" w:eastAsia="zh-CN"/>
        </w:rPr>
        <w:t>16</w:t>
      </w:r>
      <w:r>
        <w:rPr>
          <w:rFonts w:ascii="宋体" w:hAnsi="宋体" w:cs="宋体"/>
          <w:bCs/>
          <w:color w:val="000000"/>
          <w:kern w:val="0"/>
          <w:sz w:val="24"/>
          <w:szCs w:val="24"/>
        </w:rPr>
        <w:t>.</w:t>
      </w:r>
      <w:r>
        <w:rPr>
          <w:rFonts w:hint="eastAsia" w:ascii="宋体" w:hAnsi="宋体" w:cs="宋体"/>
          <w:bCs/>
          <w:color w:val="000000"/>
          <w:kern w:val="0"/>
          <w:sz w:val="24"/>
          <w:szCs w:val="24"/>
        </w:rPr>
        <w:t xml:space="preserve"> 支持对变配电站环境情况电参量（温湿度，噪声，局放）历史数据的查询</w:t>
      </w:r>
    </w:p>
    <w:p>
      <w:pPr>
        <w:adjustRightInd w:val="0"/>
        <w:spacing w:line="360" w:lineRule="atLeast"/>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lang w:val="en-US" w:eastAsia="zh-CN"/>
        </w:rPr>
        <w:t>17</w:t>
      </w:r>
      <w:r>
        <w:rPr>
          <w:rFonts w:ascii="宋体" w:hAnsi="宋体" w:cs="宋体"/>
          <w:bCs/>
          <w:color w:val="000000"/>
          <w:kern w:val="0"/>
          <w:sz w:val="24"/>
          <w:szCs w:val="24"/>
        </w:rPr>
        <w:t>.</w:t>
      </w:r>
      <w:r>
        <w:rPr>
          <w:rFonts w:hint="eastAsia" w:ascii="宋体" w:hAnsi="宋体" w:cs="宋体"/>
          <w:bCs/>
          <w:color w:val="000000"/>
          <w:kern w:val="0"/>
          <w:sz w:val="24"/>
          <w:szCs w:val="24"/>
        </w:rPr>
        <w:t>支持谐波监测</w:t>
      </w:r>
    </w:p>
    <w:p>
      <w:pPr>
        <w:adjustRightInd w:val="0"/>
        <w:spacing w:line="360" w:lineRule="atLeast"/>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lang w:val="en-US" w:eastAsia="zh-CN"/>
        </w:rPr>
        <w:t>18</w:t>
      </w:r>
      <w:r>
        <w:rPr>
          <w:rFonts w:ascii="宋体" w:hAnsi="宋体" w:cs="宋体"/>
          <w:bCs/>
          <w:color w:val="000000"/>
          <w:kern w:val="0"/>
          <w:sz w:val="24"/>
          <w:szCs w:val="24"/>
        </w:rPr>
        <w:t>.</w:t>
      </w:r>
      <w:r>
        <w:rPr>
          <w:rFonts w:hint="eastAsia" w:ascii="宋体" w:hAnsi="宋体" w:cs="宋体"/>
          <w:bCs/>
          <w:color w:val="000000"/>
          <w:kern w:val="0"/>
          <w:sz w:val="24"/>
          <w:szCs w:val="24"/>
        </w:rPr>
        <w:t>支持平均功率因数的计算，可提供平均功率因数日报表，年报表</w:t>
      </w:r>
    </w:p>
    <w:p>
      <w:pPr>
        <w:adjustRightInd w:val="0"/>
        <w:spacing w:line="360" w:lineRule="atLeast"/>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lang w:val="en-US" w:eastAsia="zh-CN"/>
        </w:rPr>
        <w:t>19</w:t>
      </w:r>
      <w:r>
        <w:rPr>
          <w:rFonts w:ascii="宋体" w:hAnsi="宋体" w:cs="宋体"/>
          <w:bCs/>
          <w:color w:val="000000"/>
          <w:kern w:val="0"/>
          <w:sz w:val="24"/>
          <w:szCs w:val="24"/>
        </w:rPr>
        <w:t>.</w:t>
      </w:r>
      <w:r>
        <w:rPr>
          <w:rFonts w:hint="eastAsia" w:ascii="宋体" w:hAnsi="宋体" w:cs="宋体"/>
          <w:bCs/>
          <w:color w:val="000000"/>
          <w:kern w:val="0"/>
          <w:sz w:val="24"/>
          <w:szCs w:val="24"/>
        </w:rPr>
        <w:t>用电安全方面支持漏电监测和线缆温度监测，可以查看历史记录，也能进行报警</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lang w:val="en-US" w:eastAsia="zh-CN"/>
        </w:rPr>
        <w:t>20</w:t>
      </w:r>
      <w:r>
        <w:rPr>
          <w:rFonts w:ascii="宋体" w:hAnsi="宋体" w:cs="宋体"/>
          <w:color w:val="000000"/>
          <w:kern w:val="0"/>
          <w:sz w:val="24"/>
          <w:szCs w:val="24"/>
        </w:rPr>
        <w:t>.</w:t>
      </w:r>
      <w:r>
        <w:rPr>
          <w:rFonts w:hint="eastAsia" w:ascii="宋体" w:hAnsi="宋体" w:cs="宋体"/>
          <w:color w:val="000000"/>
          <w:kern w:val="0"/>
          <w:sz w:val="24"/>
          <w:szCs w:val="24"/>
        </w:rPr>
        <w:t>支持对平台菜单的自定义，位置调整及修改，每个角色可以分配不同的权限的菜单</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lang w:val="en-US" w:eastAsia="zh-CN"/>
        </w:rPr>
        <w:t>21</w:t>
      </w:r>
      <w:r>
        <w:rPr>
          <w:rFonts w:ascii="宋体" w:hAnsi="宋体" w:cs="宋体"/>
          <w:color w:val="000000"/>
          <w:kern w:val="0"/>
          <w:sz w:val="24"/>
          <w:szCs w:val="24"/>
        </w:rPr>
        <w:t>.</w:t>
      </w:r>
      <w:r>
        <w:rPr>
          <w:rFonts w:hint="eastAsia" w:ascii="宋体" w:hAnsi="宋体" w:cs="宋体"/>
          <w:color w:val="000000"/>
          <w:kern w:val="0"/>
          <w:sz w:val="24"/>
          <w:szCs w:val="24"/>
        </w:rPr>
        <w:t>平台支持多主题，多语言（无论是app和web都支持中英文展示），多平台看板，多系列用户报告能够满足不同场合需要</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lang w:val="en-US" w:eastAsia="zh-CN"/>
        </w:rPr>
        <w:t>22</w:t>
      </w:r>
      <w:r>
        <w:rPr>
          <w:rFonts w:ascii="宋体" w:hAnsi="宋体" w:cs="宋体"/>
          <w:color w:val="000000"/>
          <w:kern w:val="0"/>
          <w:sz w:val="24"/>
          <w:szCs w:val="24"/>
        </w:rPr>
        <w:t>.</w:t>
      </w:r>
      <w:r>
        <w:rPr>
          <w:rFonts w:hint="eastAsia" w:ascii="宋体" w:hAnsi="宋体" w:cs="宋体"/>
          <w:color w:val="000000"/>
          <w:kern w:val="0"/>
          <w:sz w:val="24"/>
          <w:szCs w:val="24"/>
        </w:rPr>
        <w:t xml:space="preserve"> 支持区域信息管理，支持部门信息管理，支持用户信息管理，支持角色信息管理，支持组织机构管理，支持平台版本管理</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lang w:val="en-US" w:eastAsia="zh-CN"/>
        </w:rPr>
        <w:t>23</w:t>
      </w:r>
      <w:r>
        <w:rPr>
          <w:rFonts w:ascii="宋体" w:hAnsi="宋体" w:cs="宋体"/>
          <w:color w:val="000000"/>
          <w:kern w:val="0"/>
          <w:sz w:val="24"/>
          <w:szCs w:val="24"/>
        </w:rPr>
        <w:t>.</w:t>
      </w:r>
      <w:r>
        <w:rPr>
          <w:rFonts w:hint="eastAsia" w:ascii="宋体" w:hAnsi="宋体" w:cs="宋体"/>
          <w:color w:val="000000"/>
          <w:kern w:val="0"/>
          <w:sz w:val="24"/>
          <w:szCs w:val="24"/>
        </w:rPr>
        <w:t>对于用户身份认证及登录方面，认证信息加密处理，具备统计用户操作行为的功能，比如用户点击了那些功能，什么时候进入的系统，什么时候离开的系统</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lang w:val="en-US" w:eastAsia="zh-CN"/>
        </w:rPr>
        <w:t>24</w:t>
      </w:r>
      <w:r>
        <w:rPr>
          <w:rFonts w:ascii="宋体" w:hAnsi="宋体" w:cs="宋体"/>
          <w:color w:val="000000"/>
          <w:kern w:val="0"/>
          <w:sz w:val="24"/>
          <w:szCs w:val="24"/>
        </w:rPr>
        <w:t>.</w:t>
      </w:r>
      <w:r>
        <w:rPr>
          <w:rFonts w:hint="eastAsia" w:ascii="宋体" w:hAnsi="宋体" w:cs="宋体"/>
          <w:color w:val="000000"/>
          <w:kern w:val="0"/>
          <w:sz w:val="24"/>
          <w:szCs w:val="24"/>
        </w:rPr>
        <w:t>对于短信的发送和app推送有推送记录可查询可统计</w:t>
      </w:r>
    </w:p>
    <w:p>
      <w:pPr>
        <w:adjustRightInd w:val="0"/>
        <w:spacing w:line="360" w:lineRule="atLeas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lang w:val="en-US" w:eastAsia="zh-CN"/>
        </w:rPr>
        <w:t>25</w:t>
      </w:r>
      <w:r>
        <w:rPr>
          <w:rFonts w:ascii="宋体" w:hAnsi="宋体" w:cs="宋体"/>
          <w:color w:val="000000"/>
          <w:kern w:val="0"/>
          <w:sz w:val="24"/>
          <w:szCs w:val="24"/>
        </w:rPr>
        <w:t>.</w:t>
      </w:r>
      <w:r>
        <w:rPr>
          <w:rFonts w:hint="eastAsia" w:ascii="宋体" w:hAnsi="宋体" w:cs="宋体"/>
          <w:color w:val="000000"/>
          <w:kern w:val="0"/>
          <w:sz w:val="24"/>
          <w:szCs w:val="24"/>
        </w:rPr>
        <w:t>平台具备断点续传功能，支持接入噪声设备，局放设备，烟感，门禁，水浸等等第三方符合网关设备标准通讯规约的设备。</w:t>
      </w:r>
    </w:p>
    <w:p>
      <w:pPr>
        <w:adjustRightInd w:val="0"/>
        <w:spacing w:line="360" w:lineRule="atLeast"/>
        <w:ind w:firstLine="480" w:firstLineChars="200"/>
        <w:textAlignment w:val="baseline"/>
        <w:rPr>
          <w:rFonts w:ascii="宋体" w:hAnsi="宋体" w:cs="宋体"/>
          <w:kern w:val="0"/>
          <w:sz w:val="24"/>
          <w:szCs w:val="24"/>
        </w:rPr>
      </w:pPr>
      <w:r>
        <w:rPr>
          <w:rFonts w:hint="eastAsia" w:ascii="宋体" w:hAnsi="宋体" w:cs="宋体"/>
          <w:color w:val="000000"/>
          <w:kern w:val="0"/>
          <w:sz w:val="24"/>
          <w:szCs w:val="24"/>
          <w:lang w:val="en-US" w:eastAsia="zh-CN"/>
        </w:rPr>
        <w:t>26</w:t>
      </w:r>
      <w:r>
        <w:rPr>
          <w:rFonts w:ascii="宋体" w:hAnsi="宋体" w:cs="宋体"/>
          <w:color w:val="000000"/>
          <w:kern w:val="0"/>
          <w:sz w:val="24"/>
          <w:szCs w:val="24"/>
        </w:rPr>
        <w:t>.</w:t>
      </w:r>
      <w:r>
        <w:rPr>
          <w:rFonts w:hint="eastAsia" w:ascii="宋体" w:hAnsi="宋体" w:cs="宋体"/>
          <w:color w:val="000000"/>
          <w:kern w:val="0"/>
          <w:sz w:val="24"/>
          <w:szCs w:val="24"/>
        </w:rPr>
        <w:t>对系统请求访问有2次加密机制，保障请求访问的数据安全；对客户帐号密码，客户相关隐私信息进行加密，支持对非法用户的禁用，强制下线，支持将系统任意功能模块的权限分配，权限管理，功能排序，支持更换系统功能图标。</w:t>
      </w:r>
    </w:p>
    <w:p>
      <w:pPr>
        <w:pStyle w:val="26"/>
        <w:spacing w:line="480" w:lineRule="auto"/>
        <w:jc w:val="left"/>
        <w:rPr>
          <w:sz w:val="24"/>
          <w:szCs w:val="24"/>
        </w:rPr>
      </w:pPr>
    </w:p>
    <w:p>
      <w:pPr>
        <w:pStyle w:val="26"/>
        <w:numPr>
          <w:ilvl w:val="0"/>
          <w:numId w:val="2"/>
        </w:numPr>
        <w:spacing w:line="480" w:lineRule="auto"/>
        <w:jc w:val="left"/>
        <w:rPr>
          <w:rFonts w:hint="eastAsia"/>
          <w:sz w:val="24"/>
          <w:szCs w:val="24"/>
          <w:lang w:val="en-US" w:eastAsia="zh-CN"/>
        </w:rPr>
      </w:pPr>
      <w:r>
        <w:rPr>
          <w:rFonts w:hint="eastAsia"/>
          <w:sz w:val="24"/>
          <w:szCs w:val="24"/>
          <w:lang w:val="en-US" w:eastAsia="zh-CN"/>
        </w:rPr>
        <w:t>报价部分</w:t>
      </w:r>
    </w:p>
    <w:p>
      <w:pPr>
        <w:pStyle w:val="26"/>
        <w:numPr>
          <w:numId w:val="0"/>
        </w:numPr>
        <w:spacing w:line="480" w:lineRule="auto"/>
        <w:jc w:val="left"/>
        <w:rPr>
          <w:rFonts w:hint="default"/>
          <w:sz w:val="24"/>
          <w:szCs w:val="24"/>
          <w:lang w:val="en-US" w:eastAsia="zh-CN"/>
        </w:rPr>
      </w:pPr>
      <w:r>
        <w:rPr>
          <w:rFonts w:hint="eastAsia"/>
          <w:sz w:val="24"/>
          <w:szCs w:val="24"/>
          <w:lang w:val="en-US" w:eastAsia="zh-CN"/>
        </w:rPr>
        <w:t>本项目的最高限价为10万元/年，各潜在供应商根据各自实际情况进行报价。</w:t>
      </w:r>
    </w:p>
    <w:sectPr>
      <w:headerReference r:id="rId3" w:type="default"/>
      <w:pgSz w:w="11906" w:h="16838"/>
      <w:pgMar w:top="1440" w:right="1416" w:bottom="567" w:left="1418"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61034"/>
    <w:multiLevelType w:val="singleLevel"/>
    <w:tmpl w:val="A0161034"/>
    <w:lvl w:ilvl="0" w:tentative="0">
      <w:start w:val="3"/>
      <w:numFmt w:val="chineseCounting"/>
      <w:suff w:val="nothing"/>
      <w:lvlText w:val="%1、"/>
      <w:lvlJc w:val="left"/>
      <w:rPr>
        <w:rFonts w:hint="eastAsia"/>
      </w:rPr>
    </w:lvl>
  </w:abstractNum>
  <w:abstractNum w:abstractNumId="1">
    <w:nsid w:val="40FB0CBA"/>
    <w:multiLevelType w:val="multilevel"/>
    <w:tmpl w:val="40FB0CBA"/>
    <w:lvl w:ilvl="0" w:tentative="0">
      <w:start w:val="1"/>
      <w:numFmt w:val="decimal"/>
      <w:lvlText w:val="%1."/>
      <w:lvlJc w:val="left"/>
      <w:pPr>
        <w:ind w:left="1000" w:hanging="360"/>
      </w:pPr>
      <w:rPr>
        <w:rFonts w:hint="default"/>
      </w:rPr>
    </w:lvl>
    <w:lvl w:ilvl="1" w:tentative="0">
      <w:start w:val="1"/>
      <w:numFmt w:val="decimalEnclosedCircle"/>
      <w:lvlText w:val="%2"/>
      <w:lvlJc w:val="left"/>
      <w:pPr>
        <w:ind w:left="1420" w:hanging="36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931D63"/>
    <w:rsid w:val="00000732"/>
    <w:rsid w:val="00005A5A"/>
    <w:rsid w:val="00005A6E"/>
    <w:rsid w:val="00005D0C"/>
    <w:rsid w:val="000072C6"/>
    <w:rsid w:val="00017A5A"/>
    <w:rsid w:val="00020150"/>
    <w:rsid w:val="00033792"/>
    <w:rsid w:val="0003547C"/>
    <w:rsid w:val="00041E42"/>
    <w:rsid w:val="000510E8"/>
    <w:rsid w:val="00054816"/>
    <w:rsid w:val="00054896"/>
    <w:rsid w:val="00057112"/>
    <w:rsid w:val="000608C8"/>
    <w:rsid w:val="000637C2"/>
    <w:rsid w:val="0006456E"/>
    <w:rsid w:val="0006506D"/>
    <w:rsid w:val="00067A58"/>
    <w:rsid w:val="00071075"/>
    <w:rsid w:val="00084E34"/>
    <w:rsid w:val="00084FF5"/>
    <w:rsid w:val="00085E69"/>
    <w:rsid w:val="00091735"/>
    <w:rsid w:val="00091EFB"/>
    <w:rsid w:val="0009441E"/>
    <w:rsid w:val="000A0C76"/>
    <w:rsid w:val="000A65F9"/>
    <w:rsid w:val="000B24C4"/>
    <w:rsid w:val="000C21CB"/>
    <w:rsid w:val="000C65F4"/>
    <w:rsid w:val="000C6759"/>
    <w:rsid w:val="000D31C4"/>
    <w:rsid w:val="000D39AB"/>
    <w:rsid w:val="000E2226"/>
    <w:rsid w:val="000E363C"/>
    <w:rsid w:val="000E44C8"/>
    <w:rsid w:val="000E63D9"/>
    <w:rsid w:val="000F0980"/>
    <w:rsid w:val="000F1500"/>
    <w:rsid w:val="000F1F5E"/>
    <w:rsid w:val="000F6E1C"/>
    <w:rsid w:val="0010090A"/>
    <w:rsid w:val="001013BD"/>
    <w:rsid w:val="00102047"/>
    <w:rsid w:val="00103531"/>
    <w:rsid w:val="001066DF"/>
    <w:rsid w:val="00112CB9"/>
    <w:rsid w:val="00121B1F"/>
    <w:rsid w:val="00126E89"/>
    <w:rsid w:val="0012792D"/>
    <w:rsid w:val="00134E38"/>
    <w:rsid w:val="00134FF0"/>
    <w:rsid w:val="00136906"/>
    <w:rsid w:val="00136F6C"/>
    <w:rsid w:val="00145609"/>
    <w:rsid w:val="00147FDA"/>
    <w:rsid w:val="00153643"/>
    <w:rsid w:val="00153C24"/>
    <w:rsid w:val="00157103"/>
    <w:rsid w:val="00162249"/>
    <w:rsid w:val="001640B1"/>
    <w:rsid w:val="001678A4"/>
    <w:rsid w:val="00174C42"/>
    <w:rsid w:val="00180B56"/>
    <w:rsid w:val="00182955"/>
    <w:rsid w:val="0018629C"/>
    <w:rsid w:val="0019011D"/>
    <w:rsid w:val="00192A47"/>
    <w:rsid w:val="001936CB"/>
    <w:rsid w:val="001946ED"/>
    <w:rsid w:val="001A0FCC"/>
    <w:rsid w:val="001A342E"/>
    <w:rsid w:val="001A3598"/>
    <w:rsid w:val="001A5C8E"/>
    <w:rsid w:val="001B1877"/>
    <w:rsid w:val="001B1FA6"/>
    <w:rsid w:val="001B2FEF"/>
    <w:rsid w:val="001B478C"/>
    <w:rsid w:val="001B722A"/>
    <w:rsid w:val="001C1EC9"/>
    <w:rsid w:val="001C2FAF"/>
    <w:rsid w:val="001C5A9A"/>
    <w:rsid w:val="001D1E8B"/>
    <w:rsid w:val="001D2F24"/>
    <w:rsid w:val="001D7241"/>
    <w:rsid w:val="001E053A"/>
    <w:rsid w:val="001E0777"/>
    <w:rsid w:val="001E2C09"/>
    <w:rsid w:val="001F0AA9"/>
    <w:rsid w:val="001F346C"/>
    <w:rsid w:val="001F4ED7"/>
    <w:rsid w:val="001F5021"/>
    <w:rsid w:val="00202577"/>
    <w:rsid w:val="00202961"/>
    <w:rsid w:val="00204D05"/>
    <w:rsid w:val="00205026"/>
    <w:rsid w:val="002100FB"/>
    <w:rsid w:val="00217B6F"/>
    <w:rsid w:val="00227979"/>
    <w:rsid w:val="00231638"/>
    <w:rsid w:val="00233324"/>
    <w:rsid w:val="00234D77"/>
    <w:rsid w:val="002401C3"/>
    <w:rsid w:val="00241FE1"/>
    <w:rsid w:val="00247809"/>
    <w:rsid w:val="00257D88"/>
    <w:rsid w:val="00265607"/>
    <w:rsid w:val="0028158E"/>
    <w:rsid w:val="00284992"/>
    <w:rsid w:val="002879DE"/>
    <w:rsid w:val="00287F35"/>
    <w:rsid w:val="002A33F4"/>
    <w:rsid w:val="002A374B"/>
    <w:rsid w:val="002A3CB1"/>
    <w:rsid w:val="002A4543"/>
    <w:rsid w:val="002A4712"/>
    <w:rsid w:val="002A5C0B"/>
    <w:rsid w:val="002A6E86"/>
    <w:rsid w:val="002A724C"/>
    <w:rsid w:val="002B5AC3"/>
    <w:rsid w:val="002C1421"/>
    <w:rsid w:val="002D4B6D"/>
    <w:rsid w:val="002D4E92"/>
    <w:rsid w:val="002E28B0"/>
    <w:rsid w:val="002E43BB"/>
    <w:rsid w:val="002F1AF6"/>
    <w:rsid w:val="00300562"/>
    <w:rsid w:val="003111BD"/>
    <w:rsid w:val="00311C6D"/>
    <w:rsid w:val="00314E81"/>
    <w:rsid w:val="003150A2"/>
    <w:rsid w:val="00317CBC"/>
    <w:rsid w:val="003245A9"/>
    <w:rsid w:val="00332123"/>
    <w:rsid w:val="003336E6"/>
    <w:rsid w:val="00334543"/>
    <w:rsid w:val="00342434"/>
    <w:rsid w:val="003428C2"/>
    <w:rsid w:val="00351565"/>
    <w:rsid w:val="00351814"/>
    <w:rsid w:val="00356501"/>
    <w:rsid w:val="00370D11"/>
    <w:rsid w:val="0037106E"/>
    <w:rsid w:val="003744A9"/>
    <w:rsid w:val="003856BA"/>
    <w:rsid w:val="00385AA1"/>
    <w:rsid w:val="00386185"/>
    <w:rsid w:val="0039347F"/>
    <w:rsid w:val="00396E43"/>
    <w:rsid w:val="003975F5"/>
    <w:rsid w:val="003A0B81"/>
    <w:rsid w:val="003A3B81"/>
    <w:rsid w:val="003B3C3A"/>
    <w:rsid w:val="003B5F55"/>
    <w:rsid w:val="003B72BB"/>
    <w:rsid w:val="003B7704"/>
    <w:rsid w:val="003C72AE"/>
    <w:rsid w:val="003D5927"/>
    <w:rsid w:val="003E0803"/>
    <w:rsid w:val="003E2850"/>
    <w:rsid w:val="003E4C42"/>
    <w:rsid w:val="003E531C"/>
    <w:rsid w:val="003E689C"/>
    <w:rsid w:val="003E6B12"/>
    <w:rsid w:val="003E6B2D"/>
    <w:rsid w:val="003E77DB"/>
    <w:rsid w:val="003F1626"/>
    <w:rsid w:val="003F162A"/>
    <w:rsid w:val="003F1F0C"/>
    <w:rsid w:val="00400B0E"/>
    <w:rsid w:val="004100B9"/>
    <w:rsid w:val="004169C1"/>
    <w:rsid w:val="004218B0"/>
    <w:rsid w:val="00422FA7"/>
    <w:rsid w:val="00431E56"/>
    <w:rsid w:val="0043458D"/>
    <w:rsid w:val="00435CD7"/>
    <w:rsid w:val="00437A93"/>
    <w:rsid w:val="004421D1"/>
    <w:rsid w:val="00446394"/>
    <w:rsid w:val="00447269"/>
    <w:rsid w:val="00451415"/>
    <w:rsid w:val="0045518B"/>
    <w:rsid w:val="00457265"/>
    <w:rsid w:val="00464295"/>
    <w:rsid w:val="00465327"/>
    <w:rsid w:val="00466669"/>
    <w:rsid w:val="00483C6C"/>
    <w:rsid w:val="00484459"/>
    <w:rsid w:val="004857E8"/>
    <w:rsid w:val="00491428"/>
    <w:rsid w:val="004924D1"/>
    <w:rsid w:val="0049258E"/>
    <w:rsid w:val="00493ED8"/>
    <w:rsid w:val="00493F1E"/>
    <w:rsid w:val="004A35A4"/>
    <w:rsid w:val="004B625F"/>
    <w:rsid w:val="004C0DBB"/>
    <w:rsid w:val="004E12E7"/>
    <w:rsid w:val="004E3053"/>
    <w:rsid w:val="004E3B92"/>
    <w:rsid w:val="004F3AC1"/>
    <w:rsid w:val="004F7B51"/>
    <w:rsid w:val="00503235"/>
    <w:rsid w:val="005063B2"/>
    <w:rsid w:val="00511288"/>
    <w:rsid w:val="00513EE0"/>
    <w:rsid w:val="00517D21"/>
    <w:rsid w:val="00524D09"/>
    <w:rsid w:val="00524E37"/>
    <w:rsid w:val="00526C7B"/>
    <w:rsid w:val="00537B54"/>
    <w:rsid w:val="00543C17"/>
    <w:rsid w:val="005446E5"/>
    <w:rsid w:val="00550A03"/>
    <w:rsid w:val="00552344"/>
    <w:rsid w:val="00552788"/>
    <w:rsid w:val="005623CB"/>
    <w:rsid w:val="00567C34"/>
    <w:rsid w:val="0057554E"/>
    <w:rsid w:val="00584474"/>
    <w:rsid w:val="00584769"/>
    <w:rsid w:val="00586C1E"/>
    <w:rsid w:val="00587F8E"/>
    <w:rsid w:val="00590991"/>
    <w:rsid w:val="00590C11"/>
    <w:rsid w:val="0059299E"/>
    <w:rsid w:val="00594C11"/>
    <w:rsid w:val="00597598"/>
    <w:rsid w:val="005A207D"/>
    <w:rsid w:val="005A2B10"/>
    <w:rsid w:val="005A2EE9"/>
    <w:rsid w:val="005A6649"/>
    <w:rsid w:val="005A6D95"/>
    <w:rsid w:val="005B40A6"/>
    <w:rsid w:val="005C5B0B"/>
    <w:rsid w:val="005C5E6A"/>
    <w:rsid w:val="005D0EC6"/>
    <w:rsid w:val="005D5A88"/>
    <w:rsid w:val="005D7B1B"/>
    <w:rsid w:val="005E2478"/>
    <w:rsid w:val="005E75BC"/>
    <w:rsid w:val="005F0762"/>
    <w:rsid w:val="005F409F"/>
    <w:rsid w:val="005F595F"/>
    <w:rsid w:val="005F6D24"/>
    <w:rsid w:val="005F76DC"/>
    <w:rsid w:val="00601FC8"/>
    <w:rsid w:val="0060677B"/>
    <w:rsid w:val="00606B97"/>
    <w:rsid w:val="0061477A"/>
    <w:rsid w:val="00617359"/>
    <w:rsid w:val="006201BF"/>
    <w:rsid w:val="00620BB7"/>
    <w:rsid w:val="00623942"/>
    <w:rsid w:val="00632970"/>
    <w:rsid w:val="00634221"/>
    <w:rsid w:val="0063533E"/>
    <w:rsid w:val="00636B48"/>
    <w:rsid w:val="00642DAF"/>
    <w:rsid w:val="00646681"/>
    <w:rsid w:val="00646BB8"/>
    <w:rsid w:val="0066469E"/>
    <w:rsid w:val="006717BB"/>
    <w:rsid w:val="00672C08"/>
    <w:rsid w:val="00673ED9"/>
    <w:rsid w:val="00683E30"/>
    <w:rsid w:val="006856EE"/>
    <w:rsid w:val="00693089"/>
    <w:rsid w:val="00697B13"/>
    <w:rsid w:val="006A07AD"/>
    <w:rsid w:val="006B4E0A"/>
    <w:rsid w:val="006C62DA"/>
    <w:rsid w:val="006D0AA6"/>
    <w:rsid w:val="006E1309"/>
    <w:rsid w:val="006E20F3"/>
    <w:rsid w:val="006E5375"/>
    <w:rsid w:val="006E7A12"/>
    <w:rsid w:val="006F2A43"/>
    <w:rsid w:val="006F680B"/>
    <w:rsid w:val="00715747"/>
    <w:rsid w:val="00722064"/>
    <w:rsid w:val="00724014"/>
    <w:rsid w:val="007417B1"/>
    <w:rsid w:val="007644CA"/>
    <w:rsid w:val="00764652"/>
    <w:rsid w:val="00766777"/>
    <w:rsid w:val="00772B30"/>
    <w:rsid w:val="0078232C"/>
    <w:rsid w:val="00786709"/>
    <w:rsid w:val="007868A0"/>
    <w:rsid w:val="0078759F"/>
    <w:rsid w:val="00791AA6"/>
    <w:rsid w:val="00795DE2"/>
    <w:rsid w:val="007A1DB9"/>
    <w:rsid w:val="007A25BA"/>
    <w:rsid w:val="007A4064"/>
    <w:rsid w:val="007A6AB6"/>
    <w:rsid w:val="007B04C8"/>
    <w:rsid w:val="007B2EA4"/>
    <w:rsid w:val="007B5119"/>
    <w:rsid w:val="007B5C87"/>
    <w:rsid w:val="007B7B0E"/>
    <w:rsid w:val="007B7B39"/>
    <w:rsid w:val="007C1D58"/>
    <w:rsid w:val="007C2762"/>
    <w:rsid w:val="007C5A25"/>
    <w:rsid w:val="007C6116"/>
    <w:rsid w:val="007C6E69"/>
    <w:rsid w:val="007D0252"/>
    <w:rsid w:val="007D3A4F"/>
    <w:rsid w:val="007E65D9"/>
    <w:rsid w:val="007F0EB9"/>
    <w:rsid w:val="007F5339"/>
    <w:rsid w:val="00815396"/>
    <w:rsid w:val="00816349"/>
    <w:rsid w:val="0082025E"/>
    <w:rsid w:val="00820C22"/>
    <w:rsid w:val="00834561"/>
    <w:rsid w:val="0083746D"/>
    <w:rsid w:val="008416D3"/>
    <w:rsid w:val="00851C7A"/>
    <w:rsid w:val="008526FD"/>
    <w:rsid w:val="00854633"/>
    <w:rsid w:val="00856E2F"/>
    <w:rsid w:val="00857D6D"/>
    <w:rsid w:val="00860A54"/>
    <w:rsid w:val="008633E0"/>
    <w:rsid w:val="00865129"/>
    <w:rsid w:val="00874309"/>
    <w:rsid w:val="0088525F"/>
    <w:rsid w:val="00887384"/>
    <w:rsid w:val="0089034C"/>
    <w:rsid w:val="00890710"/>
    <w:rsid w:val="00897BFF"/>
    <w:rsid w:val="008A2B70"/>
    <w:rsid w:val="008A5B69"/>
    <w:rsid w:val="008B0055"/>
    <w:rsid w:val="008B1BC9"/>
    <w:rsid w:val="008B3325"/>
    <w:rsid w:val="008B7948"/>
    <w:rsid w:val="008C25DC"/>
    <w:rsid w:val="008C770B"/>
    <w:rsid w:val="008D0CCD"/>
    <w:rsid w:val="008D1443"/>
    <w:rsid w:val="008D2895"/>
    <w:rsid w:val="008E1606"/>
    <w:rsid w:val="008E22ED"/>
    <w:rsid w:val="008E77C4"/>
    <w:rsid w:val="008F1269"/>
    <w:rsid w:val="008F3B5C"/>
    <w:rsid w:val="008F4E1D"/>
    <w:rsid w:val="008F663F"/>
    <w:rsid w:val="009052B6"/>
    <w:rsid w:val="00905563"/>
    <w:rsid w:val="00914508"/>
    <w:rsid w:val="00926F61"/>
    <w:rsid w:val="0093175B"/>
    <w:rsid w:val="00931D63"/>
    <w:rsid w:val="00937E9F"/>
    <w:rsid w:val="009423D5"/>
    <w:rsid w:val="0094637C"/>
    <w:rsid w:val="0094753F"/>
    <w:rsid w:val="009504D6"/>
    <w:rsid w:val="00953931"/>
    <w:rsid w:val="00953D35"/>
    <w:rsid w:val="0095604A"/>
    <w:rsid w:val="00964C40"/>
    <w:rsid w:val="009659A9"/>
    <w:rsid w:val="00975E59"/>
    <w:rsid w:val="00981456"/>
    <w:rsid w:val="00981FDB"/>
    <w:rsid w:val="00982153"/>
    <w:rsid w:val="00994D35"/>
    <w:rsid w:val="009A5964"/>
    <w:rsid w:val="009A6A2D"/>
    <w:rsid w:val="009B084F"/>
    <w:rsid w:val="009B426F"/>
    <w:rsid w:val="009C328C"/>
    <w:rsid w:val="009C44F7"/>
    <w:rsid w:val="009D0B3D"/>
    <w:rsid w:val="009D1B0A"/>
    <w:rsid w:val="009D59B8"/>
    <w:rsid w:val="009D6071"/>
    <w:rsid w:val="009D62C1"/>
    <w:rsid w:val="009D6E03"/>
    <w:rsid w:val="009E1073"/>
    <w:rsid w:val="009E1A51"/>
    <w:rsid w:val="009F170F"/>
    <w:rsid w:val="009F226B"/>
    <w:rsid w:val="009F4C90"/>
    <w:rsid w:val="00A061DF"/>
    <w:rsid w:val="00A11C9A"/>
    <w:rsid w:val="00A12509"/>
    <w:rsid w:val="00A12EF2"/>
    <w:rsid w:val="00A1792B"/>
    <w:rsid w:val="00A20366"/>
    <w:rsid w:val="00A27A69"/>
    <w:rsid w:val="00A34EB3"/>
    <w:rsid w:val="00A36BE0"/>
    <w:rsid w:val="00A45C28"/>
    <w:rsid w:val="00A4690C"/>
    <w:rsid w:val="00A50183"/>
    <w:rsid w:val="00A50A13"/>
    <w:rsid w:val="00A54798"/>
    <w:rsid w:val="00A55E8D"/>
    <w:rsid w:val="00A611A9"/>
    <w:rsid w:val="00A64E10"/>
    <w:rsid w:val="00A6607B"/>
    <w:rsid w:val="00A66919"/>
    <w:rsid w:val="00A726E7"/>
    <w:rsid w:val="00A736D9"/>
    <w:rsid w:val="00A74FA3"/>
    <w:rsid w:val="00A760CF"/>
    <w:rsid w:val="00A76328"/>
    <w:rsid w:val="00A829AE"/>
    <w:rsid w:val="00A85B2E"/>
    <w:rsid w:val="00A85E93"/>
    <w:rsid w:val="00A86084"/>
    <w:rsid w:val="00A8633E"/>
    <w:rsid w:val="00A8777A"/>
    <w:rsid w:val="00A9118B"/>
    <w:rsid w:val="00A93A6D"/>
    <w:rsid w:val="00A952BA"/>
    <w:rsid w:val="00AA7178"/>
    <w:rsid w:val="00AC679F"/>
    <w:rsid w:val="00AF5703"/>
    <w:rsid w:val="00AF63D4"/>
    <w:rsid w:val="00AF6AEF"/>
    <w:rsid w:val="00B020F3"/>
    <w:rsid w:val="00B02EA6"/>
    <w:rsid w:val="00B0319D"/>
    <w:rsid w:val="00B10993"/>
    <w:rsid w:val="00B17399"/>
    <w:rsid w:val="00B208FC"/>
    <w:rsid w:val="00B40724"/>
    <w:rsid w:val="00B45515"/>
    <w:rsid w:val="00B54A8C"/>
    <w:rsid w:val="00B64DE0"/>
    <w:rsid w:val="00B67852"/>
    <w:rsid w:val="00B700F8"/>
    <w:rsid w:val="00B70748"/>
    <w:rsid w:val="00B71BA6"/>
    <w:rsid w:val="00B73736"/>
    <w:rsid w:val="00B7734E"/>
    <w:rsid w:val="00B828A2"/>
    <w:rsid w:val="00B829BF"/>
    <w:rsid w:val="00B94909"/>
    <w:rsid w:val="00B978B1"/>
    <w:rsid w:val="00BA4FE2"/>
    <w:rsid w:val="00BB0E6B"/>
    <w:rsid w:val="00BB4D33"/>
    <w:rsid w:val="00BB76F1"/>
    <w:rsid w:val="00BC4F44"/>
    <w:rsid w:val="00BC5E22"/>
    <w:rsid w:val="00BC7B32"/>
    <w:rsid w:val="00BD1F49"/>
    <w:rsid w:val="00BE29F2"/>
    <w:rsid w:val="00BE494E"/>
    <w:rsid w:val="00BF340A"/>
    <w:rsid w:val="00C03B17"/>
    <w:rsid w:val="00C042EE"/>
    <w:rsid w:val="00C04417"/>
    <w:rsid w:val="00C14D40"/>
    <w:rsid w:val="00C23C75"/>
    <w:rsid w:val="00C2782F"/>
    <w:rsid w:val="00C30D7D"/>
    <w:rsid w:val="00C33F57"/>
    <w:rsid w:val="00C3779B"/>
    <w:rsid w:val="00C40581"/>
    <w:rsid w:val="00C453A7"/>
    <w:rsid w:val="00C537E0"/>
    <w:rsid w:val="00C54D67"/>
    <w:rsid w:val="00C60629"/>
    <w:rsid w:val="00C60FF2"/>
    <w:rsid w:val="00C64CE1"/>
    <w:rsid w:val="00C65C79"/>
    <w:rsid w:val="00C71E55"/>
    <w:rsid w:val="00C74C9E"/>
    <w:rsid w:val="00C804C9"/>
    <w:rsid w:val="00C83A95"/>
    <w:rsid w:val="00C864AE"/>
    <w:rsid w:val="00C91257"/>
    <w:rsid w:val="00C9370C"/>
    <w:rsid w:val="00C93E25"/>
    <w:rsid w:val="00C97E61"/>
    <w:rsid w:val="00CA0CA6"/>
    <w:rsid w:val="00CA158F"/>
    <w:rsid w:val="00CA3B4E"/>
    <w:rsid w:val="00CA61B3"/>
    <w:rsid w:val="00CB0565"/>
    <w:rsid w:val="00CB6FEE"/>
    <w:rsid w:val="00CB7340"/>
    <w:rsid w:val="00CC0303"/>
    <w:rsid w:val="00CC5824"/>
    <w:rsid w:val="00CC6F82"/>
    <w:rsid w:val="00CD39C9"/>
    <w:rsid w:val="00CD5CF8"/>
    <w:rsid w:val="00CD68A3"/>
    <w:rsid w:val="00CD752D"/>
    <w:rsid w:val="00CE237D"/>
    <w:rsid w:val="00CE284F"/>
    <w:rsid w:val="00CF2D03"/>
    <w:rsid w:val="00D026E0"/>
    <w:rsid w:val="00D03967"/>
    <w:rsid w:val="00D075DC"/>
    <w:rsid w:val="00D07FCB"/>
    <w:rsid w:val="00D10E28"/>
    <w:rsid w:val="00D14883"/>
    <w:rsid w:val="00D208FB"/>
    <w:rsid w:val="00D24C42"/>
    <w:rsid w:val="00D24F12"/>
    <w:rsid w:val="00D33230"/>
    <w:rsid w:val="00D35A3D"/>
    <w:rsid w:val="00D41C6D"/>
    <w:rsid w:val="00D43D08"/>
    <w:rsid w:val="00D43FDA"/>
    <w:rsid w:val="00D44D6A"/>
    <w:rsid w:val="00D463CD"/>
    <w:rsid w:val="00D516D3"/>
    <w:rsid w:val="00D60914"/>
    <w:rsid w:val="00D66D09"/>
    <w:rsid w:val="00D81BA8"/>
    <w:rsid w:val="00D93FF6"/>
    <w:rsid w:val="00D96EBF"/>
    <w:rsid w:val="00DA21B9"/>
    <w:rsid w:val="00DA5407"/>
    <w:rsid w:val="00DB26FB"/>
    <w:rsid w:val="00DB500E"/>
    <w:rsid w:val="00DB614C"/>
    <w:rsid w:val="00DC48CF"/>
    <w:rsid w:val="00DD62BB"/>
    <w:rsid w:val="00DD7931"/>
    <w:rsid w:val="00DE06B8"/>
    <w:rsid w:val="00DE7CDB"/>
    <w:rsid w:val="00DF039A"/>
    <w:rsid w:val="00DF1BD3"/>
    <w:rsid w:val="00DF1C03"/>
    <w:rsid w:val="00DF4E2D"/>
    <w:rsid w:val="00DF7FB4"/>
    <w:rsid w:val="00E034F0"/>
    <w:rsid w:val="00E04133"/>
    <w:rsid w:val="00E101E6"/>
    <w:rsid w:val="00E1323E"/>
    <w:rsid w:val="00E14701"/>
    <w:rsid w:val="00E157EE"/>
    <w:rsid w:val="00E16792"/>
    <w:rsid w:val="00E24CB8"/>
    <w:rsid w:val="00E25849"/>
    <w:rsid w:val="00E30F5F"/>
    <w:rsid w:val="00E37E7C"/>
    <w:rsid w:val="00E4330F"/>
    <w:rsid w:val="00E508C8"/>
    <w:rsid w:val="00E55F38"/>
    <w:rsid w:val="00E577F9"/>
    <w:rsid w:val="00E63426"/>
    <w:rsid w:val="00E64E87"/>
    <w:rsid w:val="00E71B85"/>
    <w:rsid w:val="00E725F3"/>
    <w:rsid w:val="00E745D9"/>
    <w:rsid w:val="00E74E8F"/>
    <w:rsid w:val="00E75494"/>
    <w:rsid w:val="00E77E4A"/>
    <w:rsid w:val="00E85C3A"/>
    <w:rsid w:val="00E87E59"/>
    <w:rsid w:val="00E91F68"/>
    <w:rsid w:val="00E92303"/>
    <w:rsid w:val="00E9397E"/>
    <w:rsid w:val="00E960C6"/>
    <w:rsid w:val="00E960E9"/>
    <w:rsid w:val="00EA3883"/>
    <w:rsid w:val="00EA3E33"/>
    <w:rsid w:val="00EA67A9"/>
    <w:rsid w:val="00EB0475"/>
    <w:rsid w:val="00EB6C20"/>
    <w:rsid w:val="00EC68E0"/>
    <w:rsid w:val="00EC6AB7"/>
    <w:rsid w:val="00EE7E8E"/>
    <w:rsid w:val="00EF0600"/>
    <w:rsid w:val="00EF22D9"/>
    <w:rsid w:val="00EF517E"/>
    <w:rsid w:val="00EF736D"/>
    <w:rsid w:val="00F01A9C"/>
    <w:rsid w:val="00F0334F"/>
    <w:rsid w:val="00F03D34"/>
    <w:rsid w:val="00F07D46"/>
    <w:rsid w:val="00F12785"/>
    <w:rsid w:val="00F17E86"/>
    <w:rsid w:val="00F420FC"/>
    <w:rsid w:val="00F45C99"/>
    <w:rsid w:val="00F45DB1"/>
    <w:rsid w:val="00F45E40"/>
    <w:rsid w:val="00F53CA9"/>
    <w:rsid w:val="00F53EEC"/>
    <w:rsid w:val="00F67070"/>
    <w:rsid w:val="00F706D0"/>
    <w:rsid w:val="00F72122"/>
    <w:rsid w:val="00F72C88"/>
    <w:rsid w:val="00F817C4"/>
    <w:rsid w:val="00F83184"/>
    <w:rsid w:val="00F8575E"/>
    <w:rsid w:val="00F86B2C"/>
    <w:rsid w:val="00F95FBA"/>
    <w:rsid w:val="00FA09C2"/>
    <w:rsid w:val="00FA47A8"/>
    <w:rsid w:val="00FA4FDD"/>
    <w:rsid w:val="00FA66D5"/>
    <w:rsid w:val="00FB142C"/>
    <w:rsid w:val="00FB4071"/>
    <w:rsid w:val="00FC0BCF"/>
    <w:rsid w:val="00FC30F4"/>
    <w:rsid w:val="00FD676B"/>
    <w:rsid w:val="00FD679B"/>
    <w:rsid w:val="00FD72C2"/>
    <w:rsid w:val="00FE436E"/>
    <w:rsid w:val="00FE5B97"/>
    <w:rsid w:val="00FF66E5"/>
    <w:rsid w:val="01D24366"/>
    <w:rsid w:val="01E97C0C"/>
    <w:rsid w:val="020F2B45"/>
    <w:rsid w:val="02460E53"/>
    <w:rsid w:val="02DD5EF4"/>
    <w:rsid w:val="02E50753"/>
    <w:rsid w:val="02FD197B"/>
    <w:rsid w:val="035C18D6"/>
    <w:rsid w:val="03BF5C9A"/>
    <w:rsid w:val="043C5FB2"/>
    <w:rsid w:val="04585A7A"/>
    <w:rsid w:val="04706BB9"/>
    <w:rsid w:val="04F318EB"/>
    <w:rsid w:val="04FB2AC2"/>
    <w:rsid w:val="05343F0F"/>
    <w:rsid w:val="05484BE5"/>
    <w:rsid w:val="054C515B"/>
    <w:rsid w:val="057830A7"/>
    <w:rsid w:val="05EE4BFB"/>
    <w:rsid w:val="05F4330E"/>
    <w:rsid w:val="06174D42"/>
    <w:rsid w:val="062531FD"/>
    <w:rsid w:val="067C01D6"/>
    <w:rsid w:val="07842007"/>
    <w:rsid w:val="07B96D0C"/>
    <w:rsid w:val="07DC5AFF"/>
    <w:rsid w:val="095503FC"/>
    <w:rsid w:val="0A05591C"/>
    <w:rsid w:val="0A2D7F81"/>
    <w:rsid w:val="0A545CC1"/>
    <w:rsid w:val="0ACC416F"/>
    <w:rsid w:val="0B706EB9"/>
    <w:rsid w:val="0B9765FF"/>
    <w:rsid w:val="0C756993"/>
    <w:rsid w:val="0C9C4D45"/>
    <w:rsid w:val="0CBB615B"/>
    <w:rsid w:val="0D2B5CB8"/>
    <w:rsid w:val="0DA20DBB"/>
    <w:rsid w:val="0E19068B"/>
    <w:rsid w:val="0EC34711"/>
    <w:rsid w:val="0F306370"/>
    <w:rsid w:val="0F9F49F8"/>
    <w:rsid w:val="0FB13341"/>
    <w:rsid w:val="100A3B4C"/>
    <w:rsid w:val="10A85DD6"/>
    <w:rsid w:val="10CA5091"/>
    <w:rsid w:val="117375BF"/>
    <w:rsid w:val="11841119"/>
    <w:rsid w:val="11CF5294"/>
    <w:rsid w:val="11EF1276"/>
    <w:rsid w:val="12802EEF"/>
    <w:rsid w:val="128D0C42"/>
    <w:rsid w:val="12FA3689"/>
    <w:rsid w:val="141D1362"/>
    <w:rsid w:val="147A43D6"/>
    <w:rsid w:val="16481D9D"/>
    <w:rsid w:val="1678142A"/>
    <w:rsid w:val="17BD2F77"/>
    <w:rsid w:val="18C925F0"/>
    <w:rsid w:val="19715076"/>
    <w:rsid w:val="199209E7"/>
    <w:rsid w:val="1A5B4B43"/>
    <w:rsid w:val="1A5C007A"/>
    <w:rsid w:val="1A875527"/>
    <w:rsid w:val="1AE14D3F"/>
    <w:rsid w:val="1B23398B"/>
    <w:rsid w:val="1B53506D"/>
    <w:rsid w:val="1BA840C9"/>
    <w:rsid w:val="1C604AA7"/>
    <w:rsid w:val="1DA0394D"/>
    <w:rsid w:val="1DAF1895"/>
    <w:rsid w:val="1E3260EA"/>
    <w:rsid w:val="1EAC4867"/>
    <w:rsid w:val="1FD6356C"/>
    <w:rsid w:val="20314D7C"/>
    <w:rsid w:val="20415F9B"/>
    <w:rsid w:val="20444F82"/>
    <w:rsid w:val="208A764A"/>
    <w:rsid w:val="20D64826"/>
    <w:rsid w:val="21907519"/>
    <w:rsid w:val="21CE06C6"/>
    <w:rsid w:val="22486DB0"/>
    <w:rsid w:val="233614DF"/>
    <w:rsid w:val="23C64832"/>
    <w:rsid w:val="240B3E56"/>
    <w:rsid w:val="241A6267"/>
    <w:rsid w:val="247C7230"/>
    <w:rsid w:val="24813F15"/>
    <w:rsid w:val="24A76750"/>
    <w:rsid w:val="254062B5"/>
    <w:rsid w:val="2602332E"/>
    <w:rsid w:val="26216FBD"/>
    <w:rsid w:val="27097546"/>
    <w:rsid w:val="28121EB7"/>
    <w:rsid w:val="286A3DA7"/>
    <w:rsid w:val="288247A0"/>
    <w:rsid w:val="28E72F2E"/>
    <w:rsid w:val="29837A95"/>
    <w:rsid w:val="29EA11A7"/>
    <w:rsid w:val="2A033C00"/>
    <w:rsid w:val="2A3C4BBE"/>
    <w:rsid w:val="2A757496"/>
    <w:rsid w:val="2A7579BA"/>
    <w:rsid w:val="2AE94F55"/>
    <w:rsid w:val="2B255453"/>
    <w:rsid w:val="2C1F123D"/>
    <w:rsid w:val="2C74426B"/>
    <w:rsid w:val="2C9A194E"/>
    <w:rsid w:val="2CB14755"/>
    <w:rsid w:val="2D104390"/>
    <w:rsid w:val="2D1B020F"/>
    <w:rsid w:val="2D3B42F8"/>
    <w:rsid w:val="2D3E670F"/>
    <w:rsid w:val="2D555F2F"/>
    <w:rsid w:val="2D893624"/>
    <w:rsid w:val="2E1E5249"/>
    <w:rsid w:val="2EB12D59"/>
    <w:rsid w:val="2F421B4B"/>
    <w:rsid w:val="30325528"/>
    <w:rsid w:val="3103100C"/>
    <w:rsid w:val="31E803D5"/>
    <w:rsid w:val="32B269D3"/>
    <w:rsid w:val="3300706C"/>
    <w:rsid w:val="3372288D"/>
    <w:rsid w:val="34441E32"/>
    <w:rsid w:val="348B32D8"/>
    <w:rsid w:val="3531035C"/>
    <w:rsid w:val="35842DBE"/>
    <w:rsid w:val="35E80405"/>
    <w:rsid w:val="360802C8"/>
    <w:rsid w:val="36D26398"/>
    <w:rsid w:val="36E015BE"/>
    <w:rsid w:val="373A3534"/>
    <w:rsid w:val="374C58CE"/>
    <w:rsid w:val="379D5DD9"/>
    <w:rsid w:val="382A0665"/>
    <w:rsid w:val="38341136"/>
    <w:rsid w:val="388A5C42"/>
    <w:rsid w:val="3A072BFC"/>
    <w:rsid w:val="3AC63932"/>
    <w:rsid w:val="3B203DD0"/>
    <w:rsid w:val="3B4405E7"/>
    <w:rsid w:val="3B48403B"/>
    <w:rsid w:val="3B871FCD"/>
    <w:rsid w:val="3CE8608B"/>
    <w:rsid w:val="3E1A0B17"/>
    <w:rsid w:val="3EDF3EDC"/>
    <w:rsid w:val="3F3F5B0C"/>
    <w:rsid w:val="3F575ABE"/>
    <w:rsid w:val="3F5E5AEC"/>
    <w:rsid w:val="400E6734"/>
    <w:rsid w:val="40200174"/>
    <w:rsid w:val="402120B7"/>
    <w:rsid w:val="403411C6"/>
    <w:rsid w:val="403757F7"/>
    <w:rsid w:val="40906CE0"/>
    <w:rsid w:val="40E97991"/>
    <w:rsid w:val="415B4ECD"/>
    <w:rsid w:val="417B67C0"/>
    <w:rsid w:val="4226123E"/>
    <w:rsid w:val="43036748"/>
    <w:rsid w:val="433E1239"/>
    <w:rsid w:val="43DD1C54"/>
    <w:rsid w:val="442C7734"/>
    <w:rsid w:val="448E2186"/>
    <w:rsid w:val="44C61DC3"/>
    <w:rsid w:val="458B4EBB"/>
    <w:rsid w:val="467224B8"/>
    <w:rsid w:val="46C17AC0"/>
    <w:rsid w:val="46C25E5C"/>
    <w:rsid w:val="46E31C75"/>
    <w:rsid w:val="47171296"/>
    <w:rsid w:val="4757585F"/>
    <w:rsid w:val="48760880"/>
    <w:rsid w:val="48C919D2"/>
    <w:rsid w:val="49386865"/>
    <w:rsid w:val="493B33D3"/>
    <w:rsid w:val="49666A77"/>
    <w:rsid w:val="49BE79D0"/>
    <w:rsid w:val="49F44A1A"/>
    <w:rsid w:val="49FE5554"/>
    <w:rsid w:val="4AF75FE0"/>
    <w:rsid w:val="4B8E4885"/>
    <w:rsid w:val="4BC32FF6"/>
    <w:rsid w:val="4C270AB2"/>
    <w:rsid w:val="4C5267BE"/>
    <w:rsid w:val="4C8A1D85"/>
    <w:rsid w:val="4D2B5010"/>
    <w:rsid w:val="4D5358A4"/>
    <w:rsid w:val="4D8823BE"/>
    <w:rsid w:val="4E5764BA"/>
    <w:rsid w:val="4F160D1A"/>
    <w:rsid w:val="4F4F21CA"/>
    <w:rsid w:val="4F616ED5"/>
    <w:rsid w:val="5037227C"/>
    <w:rsid w:val="507412E2"/>
    <w:rsid w:val="50FE27DD"/>
    <w:rsid w:val="51355972"/>
    <w:rsid w:val="5166525D"/>
    <w:rsid w:val="51924980"/>
    <w:rsid w:val="51EC6D09"/>
    <w:rsid w:val="51FF1F2D"/>
    <w:rsid w:val="52651F84"/>
    <w:rsid w:val="527C22FC"/>
    <w:rsid w:val="52EC6164"/>
    <w:rsid w:val="53511BEE"/>
    <w:rsid w:val="54167BF8"/>
    <w:rsid w:val="54272889"/>
    <w:rsid w:val="54680682"/>
    <w:rsid w:val="548A127B"/>
    <w:rsid w:val="54A836E6"/>
    <w:rsid w:val="55436EC2"/>
    <w:rsid w:val="56A42850"/>
    <w:rsid w:val="56CC6526"/>
    <w:rsid w:val="56D032DA"/>
    <w:rsid w:val="571A42E4"/>
    <w:rsid w:val="590B25BD"/>
    <w:rsid w:val="592D1CC5"/>
    <w:rsid w:val="596F60AE"/>
    <w:rsid w:val="59AA4701"/>
    <w:rsid w:val="59C97C58"/>
    <w:rsid w:val="5B280261"/>
    <w:rsid w:val="5B5262B5"/>
    <w:rsid w:val="5B9A6B79"/>
    <w:rsid w:val="5C24748B"/>
    <w:rsid w:val="5C952E29"/>
    <w:rsid w:val="5CC2574A"/>
    <w:rsid w:val="5CE271C8"/>
    <w:rsid w:val="5DAD57AA"/>
    <w:rsid w:val="5DDB4D6A"/>
    <w:rsid w:val="5EC228BA"/>
    <w:rsid w:val="5F801373"/>
    <w:rsid w:val="5FA9541F"/>
    <w:rsid w:val="6068091B"/>
    <w:rsid w:val="60A946A9"/>
    <w:rsid w:val="60AC1050"/>
    <w:rsid w:val="60F45C7F"/>
    <w:rsid w:val="60F811EB"/>
    <w:rsid w:val="614842E5"/>
    <w:rsid w:val="620F2240"/>
    <w:rsid w:val="622639C9"/>
    <w:rsid w:val="62FF350A"/>
    <w:rsid w:val="637946AE"/>
    <w:rsid w:val="63F92BA2"/>
    <w:rsid w:val="65600A62"/>
    <w:rsid w:val="65874AE2"/>
    <w:rsid w:val="65C4018D"/>
    <w:rsid w:val="663A1876"/>
    <w:rsid w:val="670E2939"/>
    <w:rsid w:val="673F7156"/>
    <w:rsid w:val="67567CAD"/>
    <w:rsid w:val="67AC77AC"/>
    <w:rsid w:val="67C2647E"/>
    <w:rsid w:val="686B2D87"/>
    <w:rsid w:val="68836251"/>
    <w:rsid w:val="68F53659"/>
    <w:rsid w:val="69347E73"/>
    <w:rsid w:val="693C45CF"/>
    <w:rsid w:val="69E51438"/>
    <w:rsid w:val="6A340A6E"/>
    <w:rsid w:val="6A831C84"/>
    <w:rsid w:val="6B110DDC"/>
    <w:rsid w:val="6B3C6708"/>
    <w:rsid w:val="6B755EBE"/>
    <w:rsid w:val="6B764AB9"/>
    <w:rsid w:val="6B8D08C5"/>
    <w:rsid w:val="6B954817"/>
    <w:rsid w:val="6BCE0FAF"/>
    <w:rsid w:val="6BF3076D"/>
    <w:rsid w:val="6C2619A9"/>
    <w:rsid w:val="6C564480"/>
    <w:rsid w:val="6CB10005"/>
    <w:rsid w:val="6D3E469D"/>
    <w:rsid w:val="6E2643C0"/>
    <w:rsid w:val="6E383D4B"/>
    <w:rsid w:val="6ECD299B"/>
    <w:rsid w:val="6F126176"/>
    <w:rsid w:val="6F4F3FDC"/>
    <w:rsid w:val="6F65340C"/>
    <w:rsid w:val="6F877938"/>
    <w:rsid w:val="708033B4"/>
    <w:rsid w:val="70E516E5"/>
    <w:rsid w:val="716B3CBF"/>
    <w:rsid w:val="71B15A73"/>
    <w:rsid w:val="73000E4F"/>
    <w:rsid w:val="73312733"/>
    <w:rsid w:val="73D63F0E"/>
    <w:rsid w:val="742E0E8B"/>
    <w:rsid w:val="74475190"/>
    <w:rsid w:val="74B16D4B"/>
    <w:rsid w:val="74DA0F32"/>
    <w:rsid w:val="74F91792"/>
    <w:rsid w:val="74FF6B61"/>
    <w:rsid w:val="75017AFD"/>
    <w:rsid w:val="750B4616"/>
    <w:rsid w:val="75863F12"/>
    <w:rsid w:val="75C30964"/>
    <w:rsid w:val="7602667A"/>
    <w:rsid w:val="762723E7"/>
    <w:rsid w:val="76F617BA"/>
    <w:rsid w:val="77D37348"/>
    <w:rsid w:val="7805748A"/>
    <w:rsid w:val="78A007D1"/>
    <w:rsid w:val="78A35FBD"/>
    <w:rsid w:val="78CD6C3E"/>
    <w:rsid w:val="78DE0F82"/>
    <w:rsid w:val="790F7FB9"/>
    <w:rsid w:val="7AE37A23"/>
    <w:rsid w:val="7C3D206C"/>
    <w:rsid w:val="7C8C1A51"/>
    <w:rsid w:val="7CA83CFA"/>
    <w:rsid w:val="7D177D6E"/>
    <w:rsid w:val="7D954AAA"/>
    <w:rsid w:val="7DC01BF8"/>
    <w:rsid w:val="7DDD793F"/>
    <w:rsid w:val="7E0A42A8"/>
    <w:rsid w:val="7E150602"/>
    <w:rsid w:val="7E8B476F"/>
    <w:rsid w:val="7F064DA0"/>
    <w:rsid w:val="7F224606"/>
    <w:rsid w:val="7F693AE9"/>
    <w:rsid w:val="7FF81D19"/>
    <w:rsid w:val="ADEDD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99" w:semiHidden="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link w:val="15"/>
    <w:unhideWhenUsed/>
    <w:qFormat/>
    <w:uiPriority w:val="99"/>
    <w:rPr>
      <w:sz w:val="26"/>
      <w:szCs w:val="26"/>
    </w:rPr>
  </w:style>
  <w:style w:type="paragraph" w:styleId="5">
    <w:name w:val="Date"/>
    <w:basedOn w:val="1"/>
    <w:next w:val="1"/>
    <w:link w:val="25"/>
    <w:unhideWhenUsed/>
    <w:qFormat/>
    <w:uiPriority w:val="0"/>
    <w:pPr>
      <w:ind w:left="100" w:leftChars="2500"/>
    </w:pPr>
  </w:style>
  <w:style w:type="paragraph" w:styleId="6">
    <w:name w:val="Balloon Text"/>
    <w:basedOn w:val="1"/>
    <w:link w:val="20"/>
    <w:unhideWhenUsed/>
    <w:qFormat/>
    <w:uiPriority w:val="0"/>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列出段落1"/>
    <w:basedOn w:val="1"/>
    <w:qFormat/>
    <w:uiPriority w:val="34"/>
    <w:pPr>
      <w:ind w:firstLine="420" w:firstLineChars="200"/>
    </w:pPr>
  </w:style>
  <w:style w:type="character" w:customStyle="1" w:styleId="13">
    <w:name w:val="font21"/>
    <w:basedOn w:val="11"/>
    <w:qFormat/>
    <w:uiPriority w:val="0"/>
    <w:rPr>
      <w:rFonts w:hint="eastAsia" w:ascii="宋体" w:hAnsi="宋体" w:eastAsia="宋体" w:cs="宋体"/>
      <w:b/>
      <w:color w:val="000000"/>
      <w:sz w:val="40"/>
      <w:szCs w:val="40"/>
      <w:u w:val="none"/>
    </w:rPr>
  </w:style>
  <w:style w:type="character" w:customStyle="1" w:styleId="14">
    <w:name w:val="页脚 Char"/>
    <w:basedOn w:val="11"/>
    <w:link w:val="7"/>
    <w:semiHidden/>
    <w:qFormat/>
    <w:uiPriority w:val="99"/>
    <w:rPr>
      <w:rFonts w:ascii="Times New Roman" w:hAnsi="Times New Roman" w:eastAsia="宋体" w:cs="Times New Roman"/>
      <w:sz w:val="18"/>
      <w:szCs w:val="18"/>
    </w:rPr>
  </w:style>
  <w:style w:type="character" w:customStyle="1" w:styleId="15">
    <w:name w:val="称呼 Char"/>
    <w:basedOn w:val="11"/>
    <w:link w:val="4"/>
    <w:qFormat/>
    <w:uiPriority w:val="99"/>
    <w:rPr>
      <w:rFonts w:ascii="Times New Roman" w:hAnsi="Times New Roman" w:eastAsia="宋体" w:cs="Times New Roman"/>
      <w:sz w:val="26"/>
      <w:szCs w:val="26"/>
    </w:rPr>
  </w:style>
  <w:style w:type="character" w:customStyle="1" w:styleId="16">
    <w:name w:val="font51"/>
    <w:basedOn w:val="11"/>
    <w:qFormat/>
    <w:uiPriority w:val="0"/>
    <w:rPr>
      <w:rFonts w:hint="default" w:ascii="楷体_GB2312" w:eastAsia="楷体_GB2312" w:cs="楷体_GB2312"/>
      <w:b/>
      <w:color w:val="000000"/>
      <w:sz w:val="40"/>
      <w:szCs w:val="40"/>
      <w:u w:val="none"/>
    </w:rPr>
  </w:style>
  <w:style w:type="character" w:customStyle="1" w:styleId="17">
    <w:name w:val="页眉 Char"/>
    <w:basedOn w:val="11"/>
    <w:link w:val="8"/>
    <w:semiHidden/>
    <w:qFormat/>
    <w:uiPriority w:val="99"/>
    <w:rPr>
      <w:rFonts w:ascii="Times New Roman" w:hAnsi="Times New Roman" w:eastAsia="宋体" w:cs="Times New Roman"/>
      <w:sz w:val="18"/>
      <w:szCs w:val="18"/>
    </w:rPr>
  </w:style>
  <w:style w:type="paragraph" w:customStyle="1" w:styleId="18">
    <w:name w:val="_Style 2"/>
    <w:basedOn w:val="1"/>
    <w:qFormat/>
    <w:uiPriority w:val="99"/>
    <w:pPr>
      <w:ind w:firstLine="420" w:firstLineChars="200"/>
    </w:pPr>
  </w:style>
  <w:style w:type="character" w:customStyle="1" w:styleId="19">
    <w:name w:val="font01"/>
    <w:basedOn w:val="11"/>
    <w:qFormat/>
    <w:uiPriority w:val="0"/>
    <w:rPr>
      <w:rFonts w:hint="eastAsia" w:ascii="宋体" w:hAnsi="宋体" w:eastAsia="宋体" w:cs="宋体"/>
      <w:color w:val="000000"/>
      <w:sz w:val="21"/>
      <w:szCs w:val="21"/>
      <w:u w:val="none"/>
    </w:rPr>
  </w:style>
  <w:style w:type="character" w:customStyle="1" w:styleId="20">
    <w:name w:val="批注框文本 Char"/>
    <w:basedOn w:val="11"/>
    <w:link w:val="6"/>
    <w:semiHidden/>
    <w:qFormat/>
    <w:uiPriority w:val="0"/>
    <w:rPr>
      <w:kern w:val="2"/>
      <w:sz w:val="18"/>
      <w:szCs w:val="18"/>
    </w:rPr>
  </w:style>
  <w:style w:type="character" w:customStyle="1" w:styleId="21">
    <w:name w:val="font11"/>
    <w:basedOn w:val="11"/>
    <w:qFormat/>
    <w:uiPriority w:val="0"/>
    <w:rPr>
      <w:rFonts w:hint="eastAsia" w:ascii="宋体" w:hAnsi="宋体" w:eastAsia="宋体" w:cs="宋体"/>
      <w:color w:val="000000"/>
      <w:sz w:val="22"/>
      <w:szCs w:val="22"/>
      <w:u w:val="none"/>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列表段落1"/>
    <w:basedOn w:val="1"/>
    <w:qFormat/>
    <w:uiPriority w:val="99"/>
    <w:pPr>
      <w:ind w:firstLine="420" w:firstLineChars="200"/>
    </w:pPr>
  </w:style>
  <w:style w:type="character" w:customStyle="1" w:styleId="24">
    <w:name w:val="标题 1 Char"/>
    <w:basedOn w:val="11"/>
    <w:link w:val="2"/>
    <w:qFormat/>
    <w:uiPriority w:val="9"/>
    <w:rPr>
      <w:rFonts w:asciiTheme="minorHAnsi" w:hAnsiTheme="minorHAnsi" w:eastAsiaTheme="minorEastAsia" w:cstheme="minorBidi"/>
      <w:b/>
      <w:bCs/>
      <w:kern w:val="44"/>
      <w:sz w:val="44"/>
      <w:szCs w:val="44"/>
    </w:rPr>
  </w:style>
  <w:style w:type="character" w:customStyle="1" w:styleId="25">
    <w:name w:val="日期 Char"/>
    <w:basedOn w:val="11"/>
    <w:link w:val="5"/>
    <w:semiHidden/>
    <w:qFormat/>
    <w:uiPriority w:val="0"/>
    <w:rPr>
      <w:kern w:val="2"/>
      <w:sz w:val="21"/>
    </w:rPr>
  </w:style>
  <w:style w:type="paragraph" w:styleId="26">
    <w:name w:val="List Paragraph"/>
    <w:basedOn w:val="1"/>
    <w:qFormat/>
    <w:uiPriority w:val="99"/>
    <w:pPr>
      <w:ind w:firstLine="420" w:firstLineChars="200"/>
    </w:pPr>
  </w:style>
  <w:style w:type="character" w:customStyle="1" w:styleId="27">
    <w:name w:val="标题 3 Char"/>
    <w:basedOn w:val="11"/>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5293</Words>
  <Characters>5743</Characters>
  <Lines>43</Lines>
  <Paragraphs>12</Paragraphs>
  <TotalTime>1</TotalTime>
  <ScaleCrop>false</ScaleCrop>
  <LinksUpToDate>false</LinksUpToDate>
  <CharactersWithSpaces>5793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2019-04-23T11:45:00Z</dcterms:created>
  <dc:creator>lenovo</dc:creator>
  <cp:lastModifiedBy>游弋</cp:lastModifiedBy>
  <cp:lastPrinted>2019-05-05T18:31:00Z</cp:lastPrinted>
  <dcterms:modified xsi:type="dcterms:W3CDTF">2022-04-18T02:40:56Z</dcterms:modified>
  <dc:title>上海笑青电力科技有限公司</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A1AA3A256B984A56831C777FACFA0A17</vt:lpwstr>
  </property>
</Properties>
</file>